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50" w:type="dxa"/>
        <w:tblBorders>
          <w:insideV w:val="single" w:sz="4" w:space="0" w:color="57626E" w:themeColor="background2"/>
        </w:tblBorders>
        <w:tblCellMar>
          <w:left w:w="284" w:type="dxa"/>
          <w:right w:w="284" w:type="dxa"/>
        </w:tblCellMar>
        <w:tblLook w:val="04A0" w:firstRow="1" w:lastRow="0" w:firstColumn="1" w:lastColumn="0" w:noHBand="0" w:noVBand="1"/>
      </w:tblPr>
      <w:tblGrid>
        <w:gridCol w:w="3511"/>
        <w:gridCol w:w="3225"/>
        <w:gridCol w:w="3514"/>
      </w:tblGrid>
      <w:tr w:rsidR="00351F99" w:rsidTr="008D34F7">
        <w:tc>
          <w:tcPr>
            <w:tcW w:w="1713" w:type="pct"/>
            <w:tcMar>
              <w:left w:w="0" w:type="dxa"/>
            </w:tcMar>
          </w:tcPr>
          <w:p w:rsidR="004F0F35" w:rsidRPr="00A2772C" w:rsidRDefault="00BE7ED1" w:rsidP="00EB7B1F">
            <w:bookmarkStart w:id="0" w:name="_Hlk500745898"/>
            <w:bookmarkStart w:id="1" w:name="bmkFrontCover"/>
            <w:bookmarkEnd w:id="0"/>
            <w:r w:rsidRPr="00A2772C">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2540</wp:posOffset>
                  </wp:positionV>
                  <wp:extent cx="1301040" cy="299520"/>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ED_logo_DRAFT-01.png"/>
                          <pic:cNvPicPr/>
                        </pic:nvPicPr>
                        <pic:blipFill rotWithShape="1">
                          <a:blip r:embed="rId14" cstate="print">
                            <a:extLst>
                              <a:ext uri="{28A0092B-C50C-407E-A947-70E740481C1C}">
                                <a14:useLocalDpi xmlns:a14="http://schemas.microsoft.com/office/drawing/2010/main" val="0"/>
                              </a:ext>
                            </a:extLst>
                          </a:blip>
                          <a:srcRect l="14575" t="32203" r="14411" b="32121"/>
                          <a:stretch>
                            <a:fillRect/>
                          </a:stretch>
                        </pic:blipFill>
                        <pic:spPr bwMode="auto">
                          <a:xfrm>
                            <a:off x="0" y="0"/>
                            <a:ext cx="1301040" cy="29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sdt>
          <w:sdtPr>
            <w:alias w:val="Title"/>
            <w:id w:val="-221139988"/>
            <w:placeholder>
              <w:docPart w:val="7ECC366E89FD43198323215510B41C93"/>
            </w:placeholder>
            <w:dataBinding w:prefixMappings="xmlns:ns0='http://purl.org/dc/elements/1.1/' xmlns:ns1='http://schemas.openxmlformats.org/package/2006/metadata/core-properties' " w:xpath="/ns1:coreProperties[1]/ns0:title[1]" w:storeItemID="{6C3C8BC8-F283-45AE-878A-BAB7291924A1}"/>
            <w:text/>
          </w:sdtPr>
          <w:sdtEndPr/>
          <w:sdtContent>
            <w:tc>
              <w:tcPr>
                <w:tcW w:w="1573" w:type="pct"/>
              </w:tcPr>
              <w:p w:rsidR="004F0F35" w:rsidRPr="00A2772C" w:rsidRDefault="00BE7ED1" w:rsidP="00521852">
                <w:pPr>
                  <w:pStyle w:val="Title"/>
                </w:pPr>
                <w:r>
                  <w:t xml:space="preserve">The </w:t>
                </w:r>
                <w:r w:rsidRPr="00A2772C">
                  <w:t>Lancashire Innovation Plan</w:t>
                </w:r>
              </w:p>
            </w:tc>
          </w:sdtContent>
        </w:sdt>
        <w:tc>
          <w:tcPr>
            <w:tcW w:w="1715" w:type="pct"/>
          </w:tcPr>
          <w:sdt>
            <w:sdtPr>
              <w:alias w:val="Company"/>
              <w:id w:val="-326286083"/>
              <w:placeholder>
                <w:docPart w:val="28D9EE1FEC0142579E6CDCDD656B3F6D"/>
              </w:placeholder>
              <w:dataBinding w:prefixMappings="xmlns:ns0='http://schemas.openxmlformats.org/officeDocument/2006/extended-properties' " w:xpath="/ns0:Properties[1]/ns0:Company[1]" w:storeItemID="{6668398D-A668-4E3E-A5EB-62B293D839F1}"/>
              <w:text/>
            </w:sdtPr>
            <w:sdtEndPr/>
            <w:sdtContent>
              <w:p w:rsidR="004F0F35" w:rsidRPr="00A2772C" w:rsidRDefault="00BE7ED1" w:rsidP="00521852">
                <w:pPr>
                  <w:spacing w:before="0" w:after="0"/>
                </w:pPr>
                <w:r>
                  <w:t>Lancashire Enterprise Partnership</w:t>
                </w:r>
              </w:p>
            </w:sdtContent>
          </w:sdt>
          <w:p w:rsidR="00602190" w:rsidRPr="00A2772C" w:rsidRDefault="00BE7ED1" w:rsidP="00521852">
            <w:pPr>
              <w:spacing w:before="0" w:after="0"/>
            </w:pPr>
          </w:p>
        </w:tc>
      </w:tr>
      <w:tr w:rsidR="00351F99" w:rsidTr="008D34F7">
        <w:tc>
          <w:tcPr>
            <w:tcW w:w="1713" w:type="pct"/>
            <w:tcMar>
              <w:left w:w="0" w:type="dxa"/>
            </w:tcMar>
          </w:tcPr>
          <w:p w:rsidR="004F0F35" w:rsidRPr="00A2772C" w:rsidRDefault="00BE7ED1"/>
        </w:tc>
        <w:tc>
          <w:tcPr>
            <w:tcW w:w="1573" w:type="pct"/>
          </w:tcPr>
          <w:p w:rsidR="004F0F35" w:rsidRPr="00A2772C" w:rsidRDefault="00BE7ED1" w:rsidP="00521852">
            <w:pPr>
              <w:spacing w:before="0" w:after="0"/>
            </w:pPr>
          </w:p>
        </w:tc>
        <w:tc>
          <w:tcPr>
            <w:tcW w:w="1715" w:type="pct"/>
          </w:tcPr>
          <w:p w:rsidR="004F0F35" w:rsidRPr="00A2772C" w:rsidRDefault="00BE7ED1" w:rsidP="00521852">
            <w:pPr>
              <w:spacing w:before="0" w:after="0"/>
            </w:pPr>
          </w:p>
        </w:tc>
      </w:tr>
      <w:tr w:rsidR="00351F99" w:rsidTr="008D34F7">
        <w:tc>
          <w:tcPr>
            <w:tcW w:w="1713" w:type="pct"/>
            <w:tcMar>
              <w:left w:w="0" w:type="dxa"/>
            </w:tcMar>
          </w:tcPr>
          <w:p w:rsidR="00602190" w:rsidRPr="00A2772C" w:rsidRDefault="00BE7ED1"/>
        </w:tc>
        <w:tc>
          <w:tcPr>
            <w:tcW w:w="1573" w:type="pct"/>
          </w:tcPr>
          <w:sdt>
            <w:sdtPr>
              <w:rPr>
                <w:i/>
              </w:rPr>
              <w:alias w:val="Type"/>
              <w:id w:val="-1351951133"/>
              <w:placeholder>
                <w:docPart w:val="704514A7FAE6402CA9A95E7CE3BFA790"/>
              </w:placeholder>
              <w:dataBinding w:prefixMappings="xmlns:ns0='http://purl.org/dc/elements/1.1/' xmlns:ns1='http://schemas.openxmlformats.org/package/2006/metadata/core-properties' " w:xpath="/ns1:coreProperties[1]/ns1:category[1]" w:storeItemID="{6C3C8BC8-F283-45AE-878A-BAB7291924A1}"/>
              <w:text/>
            </w:sdtPr>
            <w:sdtEndPr/>
            <w:sdtContent>
              <w:p w:rsidR="00602190" w:rsidRPr="00A2772C" w:rsidRDefault="00BE7ED1" w:rsidP="00521852">
                <w:pPr>
                  <w:spacing w:before="0" w:after="0"/>
                </w:pPr>
                <w:r w:rsidRPr="00A2772C">
                  <w:rPr>
                    <w:i/>
                  </w:rPr>
                  <w:t>A Final Report</w:t>
                </w:r>
              </w:p>
            </w:sdtContent>
          </w:sdt>
          <w:p w:rsidR="00602190" w:rsidRPr="00A2772C" w:rsidRDefault="00BE7ED1" w:rsidP="00521852">
            <w:pPr>
              <w:spacing w:before="0" w:after="0"/>
            </w:pPr>
            <w:sdt>
              <w:sdtPr>
                <w:alias w:val="Date"/>
                <w:tag w:val="Date"/>
                <w:id w:val="-777246280"/>
                <w:placeholder>
                  <w:docPart w:val="4425797EC2C9449FB144A017C89750FC"/>
                </w:placeholder>
                <w:dataBinding w:xpath="/root[1]/Publication[1]" w:storeItemID="{2FFE2CD3-62F3-4FBE-BE43-75DDB2D9F79B}"/>
                <w:text/>
              </w:sdtPr>
              <w:sdtEndPr/>
              <w:sdtContent>
                <w:r>
                  <w:t>14 March</w:t>
                </w:r>
                <w:r w:rsidRPr="00A2772C">
                  <w:t xml:space="preserve"> 2018</w:t>
                </w:r>
              </w:sdtContent>
            </w:sdt>
          </w:p>
        </w:tc>
        <w:tc>
          <w:tcPr>
            <w:tcW w:w="1715" w:type="pct"/>
          </w:tcPr>
          <w:p w:rsidR="001D150A" w:rsidRPr="00A2772C" w:rsidRDefault="00BE7ED1" w:rsidP="00521852">
            <w:pPr>
              <w:spacing w:before="0" w:after="0"/>
            </w:pPr>
            <w:sdt>
              <w:sdtPr>
                <w:alias w:val="Project number label"/>
                <w:tag w:val="Project number label"/>
                <w:id w:val="-190154099"/>
                <w:placeholder>
                  <w:docPart w:val="E470D076D5274252AF9279DEA7DD049B"/>
                </w:placeholder>
                <w:showingPlcHdr/>
                <w:dataBinding w:xpath="/root[1]/Project_number_label[1]" w:storeItemID="{2FFE2CD3-62F3-4FBE-BE43-75DDB2D9F79B}"/>
                <w:text/>
              </w:sdtPr>
              <w:sdtEndPr/>
              <w:sdtContent>
                <w:r>
                  <w:t xml:space="preserve">Our ref: </w:t>
                </w:r>
              </w:sdtContent>
            </w:sdt>
            <w:sdt>
              <w:sdtPr>
                <w:alias w:val="Project number"/>
                <w:tag w:val="Project number"/>
                <w:id w:val="1408655129"/>
                <w:placeholder>
                  <w:docPart w:val="7DCC3749595E49A8BC773D85C96E69A7"/>
                </w:placeholder>
                <w:dataBinding w:xpath="/root[1]/Project_number[1]" w:storeItemID="{2FFE2CD3-62F3-4FBE-BE43-75DDB2D9F79B}"/>
                <w:text/>
              </w:sdtPr>
              <w:sdtEndPr/>
              <w:sdtContent>
                <w:r w:rsidRPr="00A2772C">
                  <w:t>231-495-01</w:t>
                </w:r>
              </w:sdtContent>
            </w:sdt>
          </w:p>
          <w:p w:rsidR="00602190" w:rsidRPr="00A2772C" w:rsidRDefault="00BE7ED1" w:rsidP="00521852">
            <w:pPr>
              <w:spacing w:before="0" w:after="0"/>
            </w:pPr>
            <w:sdt>
              <w:sdtPr>
                <w:alias w:val="Client ref label"/>
                <w:id w:val="-1695687577"/>
                <w:placeholder>
                  <w:docPart w:val="24D1114C4DE74ADB890D0C2AA7F21CE7"/>
                </w:placeholder>
                <w:showingPlcHdr/>
                <w:dataBinding w:xpath="/root[1]/Client[1]/Ref_label[1]" w:storeItemID="{2FFE2CD3-62F3-4FBE-BE43-75DDB2D9F79B}"/>
                <w:text/>
              </w:sdtPr>
              <w:sdtEndPr/>
              <w:sdtContent>
                <w:r>
                  <w:t xml:space="preserve">Client ref: </w:t>
                </w:r>
              </w:sdtContent>
            </w:sdt>
            <w:sdt>
              <w:sdtPr>
                <w:alias w:val="Client ref"/>
                <w:tag w:val="Client ref"/>
                <w:id w:val="1723638537"/>
                <w:placeholder>
                  <w:docPart w:val="7DCC3749595E49A8BC773D85C96E69A7"/>
                </w:placeholder>
                <w:showingPlcHdr/>
                <w:dataBinding w:xpath="/root[1]/Client[1]/Ref[1]" w:storeItemID="{2FFE2CD3-62F3-4FBE-BE43-75DDB2D9F79B}"/>
                <w:text/>
              </w:sdtPr>
              <w:sdtEndPr/>
              <w:sdtContent>
                <w:r w:rsidRPr="00A2772C">
                  <w:rPr>
                    <w:rStyle w:val="PlaceholderText"/>
                  </w:rPr>
                  <w:t>Click here to enter text.</w:t>
                </w:r>
              </w:sdtContent>
            </w:sdt>
          </w:p>
        </w:tc>
      </w:tr>
      <w:bookmarkEnd w:id="1"/>
    </w:tbl>
    <w:p w:rsidR="000D4609" w:rsidRPr="00A2772C" w:rsidRDefault="00BE7ED1"/>
    <w:tbl>
      <w:tblPr>
        <w:tblpPr w:leftFromText="181" w:rightFromText="181" w:vertAnchor="page" w:tblpY="5699"/>
        <w:tblOverlap w:val="never"/>
        <w:tblW w:w="0" w:type="auto"/>
        <w:tblCellMar>
          <w:left w:w="0" w:type="dxa"/>
          <w:right w:w="0" w:type="dxa"/>
        </w:tblCellMar>
        <w:tblLook w:val="04A0" w:firstRow="1" w:lastRow="0" w:firstColumn="1" w:lastColumn="0" w:noHBand="0" w:noVBand="1"/>
      </w:tblPr>
      <w:tblGrid>
        <w:gridCol w:w="10318"/>
      </w:tblGrid>
      <w:tr w:rsidR="00351F99" w:rsidTr="00FC1EB1">
        <w:trPr>
          <w:trHeight w:hRule="exact" w:val="10319"/>
        </w:trPr>
        <w:tc>
          <w:tcPr>
            <w:tcW w:w="10534" w:type="dxa"/>
          </w:tcPr>
          <w:p w:rsidR="00AE28E3" w:rsidRDefault="00BE7ED1" w:rsidP="00FC1EB1">
            <w:pPr>
              <w:spacing w:before="0" w:after="0" w:line="240" w:lineRule="auto"/>
            </w:pPr>
            <w:r>
              <w:object w:dxaOrig="1093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8pt;height:186.1pt" o:ole="">
                  <v:imagedata r:id="rId15" o:title=""/>
                </v:shape>
                <o:OLEObject Type="Embed" ProgID="PBrush" ShapeID="_x0000_i1025" DrawAspect="Content" ObjectID="_1656491068" r:id="rId16"/>
              </w:object>
            </w:r>
          </w:p>
          <w:p w:rsidR="00187856" w:rsidRPr="00AE28E3" w:rsidRDefault="00BE7ED1" w:rsidP="0074708B">
            <w:pPr>
              <w:tabs>
                <w:tab w:val="left" w:pos="3042"/>
              </w:tabs>
            </w:pPr>
          </w:p>
        </w:tc>
      </w:tr>
    </w:tbl>
    <w:p w:rsidR="000D4609" w:rsidRDefault="00BE7ED1">
      <w:bookmarkStart w:id="2" w:name="_GoBack"/>
      <w:bookmarkEnd w:id="2"/>
    </w:p>
    <w:p w:rsidR="00A2772C" w:rsidRDefault="00BE7ED1"/>
    <w:p w:rsidR="00A2772C" w:rsidRDefault="00BE7ED1"/>
    <w:p w:rsidR="00A2772C" w:rsidRDefault="00BE7ED1"/>
    <w:p w:rsidR="00A2772C" w:rsidRPr="00A2772C" w:rsidRDefault="00BE7ED1">
      <w:pPr>
        <w:sectPr w:rsidR="00A2772C" w:rsidRPr="00A2772C" w:rsidSect="0088717D">
          <w:headerReference w:type="default" r:id="rId17"/>
          <w:footerReference w:type="default" r:id="rId18"/>
          <w:pgSz w:w="11906" w:h="16838" w:code="9"/>
          <w:pgMar w:top="1588" w:right="794" w:bottom="794" w:left="794" w:header="340" w:footer="340" w:gutter="0"/>
          <w:cols w:space="708"/>
          <w:docGrid w:linePitch="360"/>
        </w:sectPr>
      </w:pPr>
    </w:p>
    <w:tbl>
      <w:tblPr>
        <w:tblW w:w="0" w:type="auto"/>
        <w:tblBorders>
          <w:insideV w:val="single" w:sz="4" w:space="0" w:color="57626E" w:themeColor="background2"/>
        </w:tblBorders>
        <w:tblLayout w:type="fixed"/>
        <w:tblCellMar>
          <w:left w:w="284" w:type="dxa"/>
          <w:right w:w="284" w:type="dxa"/>
        </w:tblCellMar>
        <w:tblLook w:val="04A0" w:firstRow="1" w:lastRow="0" w:firstColumn="1" w:lastColumn="0" w:noHBand="0" w:noVBand="1"/>
      </w:tblPr>
      <w:tblGrid>
        <w:gridCol w:w="3509"/>
        <w:gridCol w:w="3226"/>
        <w:gridCol w:w="3512"/>
      </w:tblGrid>
      <w:tr w:rsidR="00351F99" w:rsidTr="008D34F7">
        <w:tc>
          <w:tcPr>
            <w:tcW w:w="3509" w:type="dxa"/>
            <w:tcMar>
              <w:left w:w="0" w:type="dxa"/>
            </w:tcMar>
          </w:tcPr>
          <w:p w:rsidR="00602190" w:rsidRPr="00A2772C" w:rsidRDefault="00BE7ED1" w:rsidP="0018125D">
            <w:r w:rsidRPr="00A2772C">
              <w:rPr>
                <w:noProof/>
                <w:lang w:eastAsia="en-GB"/>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1301040" cy="29952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1920" name="sdgED_logo_DRAFT-01.png"/>
                          <pic:cNvPicPr/>
                        </pic:nvPicPr>
                        <pic:blipFill rotWithShape="1">
                          <a:blip r:embed="rId14" cstate="print">
                            <a:extLst>
                              <a:ext uri="{28A0092B-C50C-407E-A947-70E740481C1C}">
                                <a14:useLocalDpi xmlns:a14="http://schemas.microsoft.com/office/drawing/2010/main" val="0"/>
                              </a:ext>
                            </a:extLst>
                          </a:blip>
                          <a:srcRect l="14575" t="32203" r="14411" b="32121"/>
                          <a:stretch>
                            <a:fillRect/>
                          </a:stretch>
                        </pic:blipFill>
                        <pic:spPr bwMode="auto">
                          <a:xfrm>
                            <a:off x="0" y="0"/>
                            <a:ext cx="1301040" cy="29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sdt>
          <w:sdtPr>
            <w:alias w:val="Title"/>
            <w:id w:val="-1835827824"/>
            <w:placeholder>
              <w:docPart w:val="4495D0BFA02A4EA08E33E57FA9F91361"/>
            </w:placeholder>
            <w:dataBinding w:prefixMappings="xmlns:ns0='http://purl.org/dc/elements/1.1/' xmlns:ns1='http://schemas.openxmlformats.org/package/2006/metadata/core-properties' " w:xpath="/ns1:coreProperties[1]/ns0:title[1]" w:storeItemID="{6C3C8BC8-F283-45AE-878A-BAB7291924A1}"/>
            <w:text/>
          </w:sdtPr>
          <w:sdtEndPr/>
          <w:sdtContent>
            <w:tc>
              <w:tcPr>
                <w:tcW w:w="3226" w:type="dxa"/>
              </w:tcPr>
              <w:p w:rsidR="00602190" w:rsidRPr="00A2772C" w:rsidRDefault="00BE7ED1" w:rsidP="00521852">
                <w:pPr>
                  <w:pStyle w:val="Title"/>
                </w:pPr>
                <w:r>
                  <w:t>The Lancashire Innovation Plan</w:t>
                </w:r>
              </w:p>
            </w:tc>
          </w:sdtContent>
        </w:sdt>
        <w:tc>
          <w:tcPr>
            <w:tcW w:w="3512" w:type="dxa"/>
          </w:tcPr>
          <w:sdt>
            <w:sdtPr>
              <w:alias w:val="Company"/>
              <w:id w:val="1538314186"/>
              <w:placeholder>
                <w:docPart w:val="FC9F50455A7A4734981648BA68856AB4"/>
              </w:placeholder>
              <w:dataBinding w:prefixMappings="xmlns:ns0='http://schemas.openxmlformats.org/officeDocument/2006/extended-properties' " w:xpath="/ns0:Properties[1]/ns0:Company[1]" w:storeItemID="{6668398D-A668-4E3E-A5EB-62B293D839F1}"/>
              <w:text/>
            </w:sdtPr>
            <w:sdtEndPr/>
            <w:sdtContent>
              <w:p w:rsidR="00602190" w:rsidRPr="00A2772C" w:rsidRDefault="00BE7ED1" w:rsidP="00521852">
                <w:pPr>
                  <w:spacing w:before="0" w:after="0"/>
                </w:pPr>
                <w:r>
                  <w:t>Lancashire Enterprise Partnership</w:t>
                </w:r>
              </w:p>
            </w:sdtContent>
          </w:sdt>
          <w:p w:rsidR="00602190" w:rsidRPr="00A2772C" w:rsidRDefault="00BE7ED1" w:rsidP="00521852">
            <w:pPr>
              <w:spacing w:before="0" w:after="0"/>
            </w:pPr>
          </w:p>
        </w:tc>
      </w:tr>
      <w:tr w:rsidR="00351F99" w:rsidTr="008D34F7">
        <w:tc>
          <w:tcPr>
            <w:tcW w:w="3509" w:type="dxa"/>
            <w:tcMar>
              <w:left w:w="0" w:type="dxa"/>
            </w:tcMar>
          </w:tcPr>
          <w:p w:rsidR="00602190" w:rsidRPr="00A2772C" w:rsidRDefault="00BE7ED1" w:rsidP="0018125D"/>
        </w:tc>
        <w:tc>
          <w:tcPr>
            <w:tcW w:w="3226" w:type="dxa"/>
          </w:tcPr>
          <w:p w:rsidR="00602190" w:rsidRPr="00A2772C" w:rsidRDefault="00BE7ED1" w:rsidP="00521852">
            <w:pPr>
              <w:spacing w:before="0" w:after="0"/>
            </w:pPr>
          </w:p>
        </w:tc>
        <w:tc>
          <w:tcPr>
            <w:tcW w:w="3512" w:type="dxa"/>
          </w:tcPr>
          <w:p w:rsidR="00602190" w:rsidRPr="00A2772C" w:rsidRDefault="00BE7ED1" w:rsidP="00521852">
            <w:pPr>
              <w:spacing w:before="0" w:after="0"/>
            </w:pPr>
          </w:p>
        </w:tc>
      </w:tr>
      <w:tr w:rsidR="00351F99" w:rsidTr="008D34F7">
        <w:tc>
          <w:tcPr>
            <w:tcW w:w="3509" w:type="dxa"/>
            <w:tcMar>
              <w:left w:w="0" w:type="dxa"/>
            </w:tcMar>
          </w:tcPr>
          <w:p w:rsidR="00602190" w:rsidRPr="00A2772C" w:rsidRDefault="00BE7ED1" w:rsidP="0018125D"/>
        </w:tc>
        <w:tc>
          <w:tcPr>
            <w:tcW w:w="3226" w:type="dxa"/>
          </w:tcPr>
          <w:sdt>
            <w:sdtPr>
              <w:alias w:val="Type"/>
              <w:id w:val="1771663432"/>
              <w:placeholder>
                <w:docPart w:val="DA40C92B226347309D44CAA6839610F0"/>
              </w:placeholder>
              <w:dataBinding w:prefixMappings="xmlns:ns0='http://purl.org/dc/elements/1.1/' xmlns:ns1='http://schemas.openxmlformats.org/package/2006/metadata/core-properties' " w:xpath="/ns1:coreProperties[1]/ns1:category[1]" w:storeItemID="{6C3C8BC8-F283-45AE-878A-BAB7291924A1}"/>
              <w:text/>
            </w:sdtPr>
            <w:sdtEndPr/>
            <w:sdtContent>
              <w:p w:rsidR="00602190" w:rsidRPr="00A2772C" w:rsidRDefault="00BE7ED1" w:rsidP="00521852">
                <w:pPr>
                  <w:spacing w:before="0" w:after="0"/>
                </w:pPr>
                <w:r>
                  <w:t>A Final Report</w:t>
                </w:r>
              </w:p>
            </w:sdtContent>
          </w:sdt>
          <w:p w:rsidR="00602190" w:rsidRPr="00A2772C" w:rsidRDefault="00BE7ED1" w:rsidP="00521852">
            <w:pPr>
              <w:spacing w:before="0" w:after="0"/>
            </w:pPr>
            <w:sdt>
              <w:sdtPr>
                <w:alias w:val="Date"/>
                <w:tag w:val="Date"/>
                <w:id w:val="-621528774"/>
                <w:placeholder>
                  <w:docPart w:val="713D1970E4E640F1B8A772F3A6D87D06"/>
                </w:placeholder>
                <w:dataBinding w:xpath="/root[1]/Publication[1]" w:storeItemID="{2FFE2CD3-62F3-4FBE-BE43-75DDB2D9F79B}"/>
                <w:text/>
              </w:sdtPr>
              <w:sdtEndPr/>
              <w:sdtContent>
                <w:r>
                  <w:t>14 March 2018</w:t>
                </w:r>
              </w:sdtContent>
            </w:sdt>
          </w:p>
        </w:tc>
        <w:tc>
          <w:tcPr>
            <w:tcW w:w="3512" w:type="dxa"/>
          </w:tcPr>
          <w:p w:rsidR="004900D1" w:rsidRPr="00A2772C" w:rsidRDefault="00BE7ED1" w:rsidP="00521852">
            <w:pPr>
              <w:spacing w:before="0" w:after="0"/>
            </w:pPr>
            <w:sdt>
              <w:sdtPr>
                <w:alias w:val="Project number label"/>
                <w:tag w:val="Project number label"/>
                <w:id w:val="-1070258755"/>
                <w:placeholder>
                  <w:docPart w:val="1089CC7F45A14A50A23BF6E93389DE6A"/>
                </w:placeholder>
                <w:showingPlcHdr/>
                <w:dataBinding w:xpath="/root[1]/Project_number_label[1]" w:storeItemID="{2FFE2CD3-62F3-4FBE-BE43-75DDB2D9F79B}"/>
                <w:text/>
              </w:sdtPr>
              <w:sdtEndPr/>
              <w:sdtContent>
                <w:r>
                  <w:t xml:space="preserve">Our ref: </w:t>
                </w:r>
              </w:sdtContent>
            </w:sdt>
            <w:sdt>
              <w:sdtPr>
                <w:alias w:val="Project number"/>
                <w:tag w:val="Project number"/>
                <w:id w:val="-1805462304"/>
                <w:placeholder>
                  <w:docPart w:val="BA38FD0FAC3C4F098083EAB5D0C94AF8"/>
                </w:placeholder>
                <w:dataBinding w:xpath="/root[1]/Project_number[1]" w:storeItemID="{2FFE2CD3-62F3-4FBE-BE43-75DDB2D9F79B}"/>
                <w:text/>
              </w:sdtPr>
              <w:sdtEndPr/>
              <w:sdtContent>
                <w:r w:rsidRPr="00A2772C">
                  <w:t>231-495-01</w:t>
                </w:r>
              </w:sdtContent>
            </w:sdt>
          </w:p>
          <w:p w:rsidR="00602190" w:rsidRPr="00A2772C" w:rsidRDefault="00BE7ED1" w:rsidP="00521852">
            <w:pPr>
              <w:spacing w:before="0" w:after="0"/>
            </w:pPr>
            <w:sdt>
              <w:sdtPr>
                <w:alias w:val="Client ref label"/>
                <w:id w:val="262270223"/>
                <w:placeholder>
                  <w:docPart w:val="71B99A29409B467F9C229DD61EF52C65"/>
                </w:placeholder>
                <w:showingPlcHdr/>
                <w:dataBinding w:xpath="/root[1]/Client[1]/Ref_label[1]" w:storeItemID="{2FFE2CD3-62F3-4FBE-BE43-75DDB2D9F79B}"/>
                <w:text/>
              </w:sdtPr>
              <w:sdtEndPr/>
              <w:sdtContent>
                <w:r>
                  <w:t xml:space="preserve">Client ref: </w:t>
                </w:r>
              </w:sdtContent>
            </w:sdt>
            <w:sdt>
              <w:sdtPr>
                <w:alias w:val="Client ref"/>
                <w:tag w:val="Client ref"/>
                <w:id w:val="-600485880"/>
                <w:placeholder>
                  <w:docPart w:val="D27957D59A324D8389C5F2BC7D91A676"/>
                </w:placeholder>
                <w:showingPlcHdr/>
                <w:dataBinding w:xpath="/root[1]/Client[1]/Ref[1]" w:storeItemID="{2FFE2CD3-62F3-4FBE-BE43-75DDB2D9F79B}"/>
                <w:text/>
              </w:sdtPr>
              <w:sdtEndPr/>
              <w:sdtContent>
                <w:r w:rsidRPr="00BC5EE2">
                  <w:rPr>
                    <w:rStyle w:val="PlaceholderText"/>
                  </w:rPr>
                  <w:t xml:space="preserve">Click </w:t>
                </w:r>
                <w:r w:rsidRPr="00BC5EE2">
                  <w:rPr>
                    <w:rStyle w:val="PlaceholderText"/>
                  </w:rPr>
                  <w:t>here to enter text.</w:t>
                </w:r>
              </w:sdtContent>
            </w:sdt>
          </w:p>
        </w:tc>
      </w:tr>
    </w:tbl>
    <w:p w:rsidR="000D4609" w:rsidRPr="00A2772C" w:rsidRDefault="00BE7ED1"/>
    <w:tbl>
      <w:tblPr>
        <w:tblStyle w:val="TableGrid"/>
        <w:tblpPr w:leftFromText="181" w:rightFromText="181" w:vertAnchor="page" w:tblpY="10802"/>
        <w:tblOverlap w:val="never"/>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284" w:type="dxa"/>
        </w:tblCellMar>
        <w:tblLook w:val="00A0" w:firstRow="1" w:lastRow="0" w:firstColumn="1" w:lastColumn="0" w:noHBand="0" w:noVBand="0"/>
      </w:tblPr>
      <w:tblGrid>
        <w:gridCol w:w="3503"/>
        <w:gridCol w:w="3868"/>
        <w:gridCol w:w="3152"/>
      </w:tblGrid>
      <w:tr w:rsidR="00351F99" w:rsidTr="002415CE">
        <w:tc>
          <w:tcPr>
            <w:tcW w:w="3503" w:type="dxa"/>
          </w:tcPr>
          <w:p w:rsidR="00FD0A1C" w:rsidRPr="00A2772C" w:rsidRDefault="00BE7ED1" w:rsidP="00BC1729">
            <w:pPr>
              <w:spacing w:line="220" w:lineRule="atLeast"/>
              <w:rPr>
                <w:sz w:val="18"/>
                <w:szCs w:val="18"/>
              </w:rPr>
            </w:pPr>
          </w:p>
        </w:tc>
        <w:tc>
          <w:tcPr>
            <w:tcW w:w="3868" w:type="dxa"/>
            <w:hideMark/>
          </w:tcPr>
          <w:p w:rsidR="00FD0A1C" w:rsidRPr="00A2772C" w:rsidRDefault="00BE7ED1" w:rsidP="00521852">
            <w:pPr>
              <w:spacing w:before="0" w:line="280" w:lineRule="atLeast"/>
              <w:rPr>
                <w:sz w:val="18"/>
                <w:szCs w:val="18"/>
              </w:rPr>
            </w:pPr>
            <w:bookmarkStart w:id="3" w:name="bmkPreparedBy"/>
            <w:r w:rsidRPr="00A2772C">
              <w:rPr>
                <w:sz w:val="18"/>
                <w:szCs w:val="18"/>
              </w:rPr>
              <w:t>Prepared by:</w:t>
            </w:r>
            <w:bookmarkEnd w:id="3"/>
          </w:p>
          <w:p w:rsidR="00FD0A1C" w:rsidRPr="00A2772C" w:rsidRDefault="00BE7ED1" w:rsidP="00521852">
            <w:pPr>
              <w:spacing w:before="0" w:line="280" w:lineRule="atLeast"/>
              <w:rPr>
                <w:sz w:val="18"/>
                <w:szCs w:val="18"/>
              </w:rPr>
            </w:pPr>
          </w:p>
        </w:tc>
        <w:tc>
          <w:tcPr>
            <w:tcW w:w="3152" w:type="dxa"/>
          </w:tcPr>
          <w:p w:rsidR="00FD0A1C" w:rsidRPr="00A2772C" w:rsidRDefault="00BE7ED1" w:rsidP="00521852">
            <w:pPr>
              <w:spacing w:before="0" w:line="280" w:lineRule="atLeast"/>
              <w:rPr>
                <w:sz w:val="18"/>
                <w:szCs w:val="18"/>
              </w:rPr>
            </w:pPr>
            <w:bookmarkStart w:id="4" w:name="bmkPreparedFor"/>
            <w:r w:rsidRPr="00A2772C">
              <w:rPr>
                <w:sz w:val="18"/>
                <w:szCs w:val="18"/>
              </w:rPr>
              <w:t>Prepared for:</w:t>
            </w:r>
            <w:bookmarkEnd w:id="4"/>
          </w:p>
          <w:p w:rsidR="00FD0A1C" w:rsidRPr="00A2772C" w:rsidRDefault="00BE7ED1" w:rsidP="00521852">
            <w:pPr>
              <w:spacing w:before="0" w:line="280" w:lineRule="atLeast"/>
              <w:rPr>
                <w:sz w:val="18"/>
                <w:szCs w:val="18"/>
              </w:rPr>
            </w:pPr>
          </w:p>
        </w:tc>
      </w:tr>
      <w:tr w:rsidR="00351F99" w:rsidTr="002415CE">
        <w:tc>
          <w:tcPr>
            <w:tcW w:w="3503" w:type="dxa"/>
          </w:tcPr>
          <w:p w:rsidR="00FD0A1C" w:rsidRPr="00A2772C" w:rsidRDefault="00BE7ED1" w:rsidP="00BC1729">
            <w:pPr>
              <w:spacing w:line="220" w:lineRule="atLeast"/>
              <w:rPr>
                <w:sz w:val="18"/>
                <w:szCs w:val="18"/>
              </w:rPr>
            </w:pPr>
          </w:p>
        </w:tc>
        <w:tc>
          <w:tcPr>
            <w:tcW w:w="3868" w:type="dxa"/>
          </w:tcPr>
          <w:p w:rsidR="003F05C5" w:rsidRPr="00A2772C" w:rsidRDefault="00BE7ED1" w:rsidP="00521852">
            <w:pPr>
              <w:spacing w:before="0" w:line="280" w:lineRule="atLeast"/>
              <w:rPr>
                <w:sz w:val="18"/>
                <w:szCs w:val="18"/>
              </w:rPr>
            </w:pPr>
            <w:r w:rsidRPr="00A2772C">
              <w:rPr>
                <w:sz w:val="18"/>
                <w:szCs w:val="18"/>
              </w:rPr>
              <w:t>SDG</w:t>
            </w:r>
            <w:r w:rsidRPr="00A2772C">
              <w:rPr>
                <w:sz w:val="18"/>
                <w:szCs w:val="18"/>
              </w:rPr>
              <w:t xml:space="preserve"> </w:t>
            </w:r>
            <w:r w:rsidRPr="00A2772C">
              <w:rPr>
                <w:sz w:val="18"/>
                <w:szCs w:val="18"/>
              </w:rPr>
              <w:t>Economic Development</w:t>
            </w:r>
          </w:p>
          <w:sdt>
            <w:sdtPr>
              <w:rPr>
                <w:sz w:val="18"/>
                <w:szCs w:val="18"/>
              </w:rPr>
              <w:alias w:val="Office address"/>
              <w:tag w:val="Office address"/>
              <w:id w:val="23308123"/>
              <w:placeholder>
                <w:docPart w:val="69B2138248534368A154E03F5A2EE408"/>
              </w:placeholder>
              <w:dataBinding w:xpath="/root[1]/Office[1]/Address[1]" w:storeItemID="{2FFE2CD3-62F3-4FBE-BE43-75DDB2D9F79B}"/>
              <w:text w:multiLine="1"/>
            </w:sdtPr>
            <w:sdtEndPr/>
            <w:sdtContent>
              <w:p w:rsidR="00FD0A1C" w:rsidRPr="00A2772C" w:rsidRDefault="00BE7ED1" w:rsidP="00521852">
                <w:pPr>
                  <w:spacing w:before="0" w:line="280" w:lineRule="atLeast"/>
                  <w:rPr>
                    <w:sz w:val="18"/>
                    <w:szCs w:val="18"/>
                  </w:rPr>
                </w:pPr>
                <w:r w:rsidRPr="00A2772C">
                  <w:rPr>
                    <w:sz w:val="18"/>
                    <w:szCs w:val="18"/>
                  </w:rPr>
                  <w:t>61 Mosley Street</w:t>
                </w:r>
                <w:r w:rsidRPr="00A2772C">
                  <w:rPr>
                    <w:sz w:val="18"/>
                    <w:szCs w:val="18"/>
                  </w:rPr>
                  <w:br/>
                  <w:t>Manchester M2 3HZ</w:t>
                </w:r>
              </w:p>
            </w:sdtContent>
          </w:sdt>
          <w:p w:rsidR="00FD0A1C" w:rsidRPr="00A2772C" w:rsidRDefault="00BE7ED1" w:rsidP="00521852">
            <w:pPr>
              <w:spacing w:before="0" w:line="280" w:lineRule="atLeast"/>
              <w:rPr>
                <w:sz w:val="18"/>
                <w:szCs w:val="18"/>
              </w:rPr>
            </w:pPr>
          </w:p>
        </w:tc>
        <w:tc>
          <w:tcPr>
            <w:tcW w:w="3152" w:type="dxa"/>
          </w:tcPr>
          <w:sdt>
            <w:sdtPr>
              <w:rPr>
                <w:sz w:val="18"/>
                <w:szCs w:val="18"/>
              </w:rPr>
              <w:alias w:val="Company"/>
              <w:id w:val="-776868376"/>
              <w:placeholder>
                <w:docPart w:val="ADDBB8F4A09745EDAEA2835E272379D3"/>
              </w:placeholder>
              <w:dataBinding w:prefixMappings="xmlns:ns0='http://schemas.openxmlformats.org/officeDocument/2006/extended-properties' " w:xpath="/ns0:Properties[1]/ns0:Company[1]" w:storeItemID="{6668398D-A668-4E3E-A5EB-62B293D839F1}"/>
              <w:text/>
            </w:sdtPr>
            <w:sdtEndPr/>
            <w:sdtContent>
              <w:p w:rsidR="00FD0A1C" w:rsidRPr="00A2772C" w:rsidRDefault="00BE7ED1" w:rsidP="00521852">
                <w:pPr>
                  <w:spacing w:before="0" w:line="280" w:lineRule="atLeast"/>
                  <w:rPr>
                    <w:sz w:val="18"/>
                    <w:szCs w:val="18"/>
                  </w:rPr>
                </w:pPr>
                <w:r>
                  <w:rPr>
                    <w:sz w:val="18"/>
                    <w:szCs w:val="18"/>
                  </w:rPr>
                  <w:t>Lancashire Enterprise Partnership</w:t>
                </w:r>
              </w:p>
            </w:sdtContent>
          </w:sdt>
          <w:sdt>
            <w:sdtPr>
              <w:rPr>
                <w:sz w:val="18"/>
                <w:szCs w:val="18"/>
              </w:rPr>
              <w:alias w:val="Company Address"/>
              <w:id w:val="661818916"/>
              <w:placeholder>
                <w:docPart w:val="FB9A769BAE9F41E2957CB70AB24342D9"/>
              </w:placeholder>
              <w:dataBinding w:prefixMappings="xmlns:ns0='http://schemas.microsoft.com/office/2006/coverPageProps' " w:xpath="/ns0:CoverPageProperties[1]/ns0:CompanyAddress[1]" w:storeItemID="{55AF091B-3C7A-41E3-B477-F2FDAA23CFDA}"/>
              <w:text w:multiLine="1"/>
            </w:sdtPr>
            <w:sdtEndPr/>
            <w:sdtContent>
              <w:p w:rsidR="00FD0A1C" w:rsidRPr="00A2772C" w:rsidRDefault="00BE7ED1" w:rsidP="00521852">
                <w:pPr>
                  <w:spacing w:before="0" w:line="280" w:lineRule="atLeast"/>
                  <w:rPr>
                    <w:sz w:val="18"/>
                    <w:szCs w:val="18"/>
                  </w:rPr>
                </w:pPr>
                <w:r>
                  <w:rPr>
                    <w:sz w:val="18"/>
                    <w:szCs w:val="18"/>
                  </w:rPr>
                  <w:t>c/o 15 Cross Street</w:t>
                </w:r>
                <w:r>
                  <w:rPr>
                    <w:sz w:val="18"/>
                    <w:szCs w:val="18"/>
                  </w:rPr>
                  <w:br/>
                  <w:t>Preston PR1 3LT</w:t>
                </w:r>
              </w:p>
            </w:sdtContent>
          </w:sdt>
        </w:tc>
      </w:tr>
      <w:tr w:rsidR="00351F99" w:rsidTr="002415CE">
        <w:tc>
          <w:tcPr>
            <w:tcW w:w="3503" w:type="dxa"/>
          </w:tcPr>
          <w:p w:rsidR="00FD0A1C" w:rsidRPr="00A2772C" w:rsidRDefault="00BE7ED1" w:rsidP="00BC1729">
            <w:pPr>
              <w:spacing w:line="220" w:lineRule="atLeast"/>
              <w:rPr>
                <w:sz w:val="18"/>
                <w:szCs w:val="18"/>
              </w:rPr>
            </w:pPr>
          </w:p>
        </w:tc>
        <w:tc>
          <w:tcPr>
            <w:tcW w:w="3868" w:type="dxa"/>
            <w:hideMark/>
          </w:tcPr>
          <w:sdt>
            <w:sdtPr>
              <w:rPr>
                <w:sz w:val="18"/>
                <w:szCs w:val="18"/>
              </w:rPr>
              <w:alias w:val="Office telephone"/>
              <w:tag w:val="Office telephone"/>
              <w:id w:val="23308125"/>
              <w:placeholder>
                <w:docPart w:val="B231787618DC4B7790D0D1FADBB1554A"/>
              </w:placeholder>
              <w:dataBinding w:xpath="/root[1]/Office[1]/Telephone[1]" w:storeItemID="{2FFE2CD3-62F3-4FBE-BE43-75DDB2D9F79B}"/>
              <w:text/>
            </w:sdtPr>
            <w:sdtEndPr/>
            <w:sdtContent>
              <w:p w:rsidR="00FD0A1C" w:rsidRPr="00A2772C" w:rsidRDefault="00BE7ED1" w:rsidP="00521852">
                <w:pPr>
                  <w:spacing w:before="0" w:line="280" w:lineRule="atLeast"/>
                  <w:rPr>
                    <w:sz w:val="18"/>
                    <w:szCs w:val="18"/>
                  </w:rPr>
                </w:pPr>
                <w:r w:rsidRPr="00A2772C">
                  <w:rPr>
                    <w:sz w:val="18"/>
                    <w:szCs w:val="18"/>
                  </w:rPr>
                  <w:t>+44 161 261 91</w:t>
                </w:r>
                <w:r>
                  <w:rPr>
                    <w:sz w:val="18"/>
                    <w:szCs w:val="18"/>
                  </w:rPr>
                  <w:t>41</w:t>
                </w:r>
              </w:p>
            </w:sdtContent>
          </w:sdt>
          <w:sdt>
            <w:sdtPr>
              <w:rPr>
                <w:sz w:val="18"/>
                <w:szCs w:val="18"/>
              </w:rPr>
              <w:alias w:val="Office web"/>
              <w:tag w:val="Office web"/>
              <w:id w:val="-233251071"/>
              <w:placeholder>
                <w:docPart w:val="26BBAB93F8F441A48BC13F5F5B663223"/>
              </w:placeholder>
              <w:dataBinding w:xpath="/root[1]/Office[1]/URL[1]" w:storeItemID="{2FFE2CD3-62F3-4FBE-BE43-75DDB2D9F79B}"/>
              <w:text/>
            </w:sdtPr>
            <w:sdtEndPr/>
            <w:sdtContent>
              <w:p w:rsidR="00FD0A1C" w:rsidRPr="00A2772C" w:rsidRDefault="00BE7ED1" w:rsidP="00521852">
                <w:pPr>
                  <w:spacing w:before="0" w:line="280" w:lineRule="atLeast"/>
                  <w:rPr>
                    <w:sz w:val="18"/>
                    <w:szCs w:val="18"/>
                  </w:rPr>
                </w:pPr>
                <w:r w:rsidRPr="00A2772C">
                  <w:rPr>
                    <w:sz w:val="18"/>
                    <w:szCs w:val="18"/>
                  </w:rPr>
                  <w:t>www.sdgED.com</w:t>
                </w:r>
              </w:p>
            </w:sdtContent>
          </w:sdt>
        </w:tc>
        <w:tc>
          <w:tcPr>
            <w:tcW w:w="3152" w:type="dxa"/>
          </w:tcPr>
          <w:p w:rsidR="00FD0A1C" w:rsidRPr="00A2772C" w:rsidRDefault="00BE7ED1" w:rsidP="00521852">
            <w:pPr>
              <w:spacing w:before="0" w:line="280" w:lineRule="atLeast"/>
              <w:rPr>
                <w:sz w:val="18"/>
                <w:szCs w:val="18"/>
              </w:rPr>
            </w:pPr>
          </w:p>
        </w:tc>
      </w:tr>
    </w:tbl>
    <w:p w:rsidR="00FD0A1C" w:rsidRPr="00A2772C" w:rsidRDefault="00BE7ED1"/>
    <w:p w:rsidR="00FD6052" w:rsidRPr="00A2772C" w:rsidRDefault="00BE7ED1">
      <w:pPr>
        <w:sectPr w:rsidR="00FD6052" w:rsidRPr="00A2772C" w:rsidSect="00EC4930">
          <w:headerReference w:type="even" r:id="rId19"/>
          <w:headerReference w:type="default" r:id="rId20"/>
          <w:footerReference w:type="default" r:id="rId21"/>
          <w:headerReference w:type="first" r:id="rId22"/>
          <w:type w:val="oddPage"/>
          <w:pgSz w:w="11906" w:h="16838" w:code="9"/>
          <w:pgMar w:top="1588" w:right="794" w:bottom="794" w:left="794" w:header="340" w:footer="794" w:gutter="0"/>
          <w:cols w:space="708"/>
          <w:docGrid w:linePitch="360"/>
        </w:sectPr>
      </w:pPr>
    </w:p>
    <w:p w:rsidR="00CF64D8" w:rsidRPr="00A2772C" w:rsidRDefault="00BE7ED1" w:rsidP="001A1380">
      <w:pPr>
        <w:pStyle w:val="TOCHeading"/>
        <w:ind w:left="-567"/>
      </w:pPr>
      <w:bookmarkStart w:id="5" w:name="bmkContentsLabel"/>
      <w:r w:rsidRPr="00A2772C">
        <w:lastRenderedPageBreak/>
        <w:t>Contents</w:t>
      </w:r>
      <w:bookmarkEnd w:id="5"/>
    </w:p>
    <w:p w:rsidR="002A434E" w:rsidRDefault="00BE7ED1">
      <w:pPr>
        <w:pStyle w:val="TOC1"/>
        <w:rPr>
          <w:rFonts w:eastAsiaTheme="minorEastAsia"/>
          <w:b w:val="0"/>
          <w:noProof/>
          <w:color w:val="auto"/>
          <w:lang w:eastAsia="en-GB"/>
        </w:rPr>
      </w:pPr>
      <w:r w:rsidRPr="00A2772C">
        <w:rPr>
          <w:color w:val="57626E" w:themeColor="background2"/>
        </w:rPr>
        <w:fldChar w:fldCharType="begin"/>
      </w:r>
      <w:r w:rsidRPr="00A2772C">
        <w:instrText xml:space="preserve"> TOC \o "1-2" \h \z \u </w:instrText>
      </w:r>
      <w:r w:rsidRPr="00A2772C">
        <w:rPr>
          <w:color w:val="57626E" w:themeColor="background2"/>
        </w:rPr>
        <w:fldChar w:fldCharType="separate"/>
      </w:r>
      <w:hyperlink w:anchor="_Toc508803065" w:history="1">
        <w:r w:rsidRPr="00B304D9">
          <w:rPr>
            <w:rStyle w:val="Hyperlink"/>
            <w:noProof/>
          </w:rPr>
          <w:t>Executive Summary</w:t>
        </w:r>
        <w:r>
          <w:rPr>
            <w:noProof/>
            <w:webHidden/>
          </w:rPr>
          <w:tab/>
        </w:r>
        <w:r>
          <w:rPr>
            <w:noProof/>
            <w:webHidden/>
          </w:rPr>
          <w:fldChar w:fldCharType="begin"/>
        </w:r>
        <w:r>
          <w:rPr>
            <w:noProof/>
            <w:webHidden/>
          </w:rPr>
          <w:instrText xml:space="preserve"> PAGEREF _Toc508803065 \h </w:instrText>
        </w:r>
        <w:r>
          <w:rPr>
            <w:noProof/>
            <w:webHidden/>
          </w:rPr>
        </w:r>
        <w:r>
          <w:rPr>
            <w:noProof/>
            <w:webHidden/>
          </w:rPr>
          <w:fldChar w:fldCharType="separate"/>
        </w:r>
        <w:r>
          <w:rPr>
            <w:noProof/>
            <w:webHidden/>
          </w:rPr>
          <w:t>i</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66" w:history="1">
        <w:r w:rsidRPr="00B304D9">
          <w:rPr>
            <w:rStyle w:val="Hyperlink"/>
            <w:noProof/>
          </w:rPr>
          <w:t>The Commission</w:t>
        </w:r>
        <w:r>
          <w:rPr>
            <w:noProof/>
            <w:webHidden/>
          </w:rPr>
          <w:tab/>
        </w:r>
        <w:r>
          <w:rPr>
            <w:noProof/>
            <w:webHidden/>
          </w:rPr>
          <w:fldChar w:fldCharType="begin"/>
        </w:r>
        <w:r>
          <w:rPr>
            <w:noProof/>
            <w:webHidden/>
          </w:rPr>
          <w:instrText xml:space="preserve"> PAGEREF _Toc508803066 \h </w:instrText>
        </w:r>
        <w:r>
          <w:rPr>
            <w:noProof/>
            <w:webHidden/>
          </w:rPr>
        </w:r>
        <w:r>
          <w:rPr>
            <w:noProof/>
            <w:webHidden/>
          </w:rPr>
          <w:fldChar w:fldCharType="separate"/>
        </w:r>
        <w:r>
          <w:rPr>
            <w:noProof/>
            <w:webHidden/>
          </w:rPr>
          <w:t>i</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67" w:history="1">
        <w:r w:rsidRPr="00B304D9">
          <w:rPr>
            <w:rStyle w:val="Hyperlink"/>
            <w:noProof/>
          </w:rPr>
          <w:t>Context</w:t>
        </w:r>
        <w:r>
          <w:rPr>
            <w:noProof/>
            <w:webHidden/>
          </w:rPr>
          <w:tab/>
        </w:r>
        <w:r>
          <w:rPr>
            <w:noProof/>
            <w:webHidden/>
          </w:rPr>
          <w:fldChar w:fldCharType="begin"/>
        </w:r>
        <w:r>
          <w:rPr>
            <w:noProof/>
            <w:webHidden/>
          </w:rPr>
          <w:instrText xml:space="preserve"> PAGEREF _Toc508803067 \h </w:instrText>
        </w:r>
        <w:r>
          <w:rPr>
            <w:noProof/>
            <w:webHidden/>
          </w:rPr>
        </w:r>
        <w:r>
          <w:rPr>
            <w:noProof/>
            <w:webHidden/>
          </w:rPr>
          <w:fldChar w:fldCharType="separate"/>
        </w:r>
        <w:r>
          <w:rPr>
            <w:noProof/>
            <w:webHidden/>
          </w:rPr>
          <w:t>i</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68" w:history="1">
        <w:r w:rsidRPr="00B304D9">
          <w:rPr>
            <w:rStyle w:val="Hyperlink"/>
            <w:noProof/>
          </w:rPr>
          <w:t>Plan Process</w:t>
        </w:r>
        <w:r>
          <w:rPr>
            <w:noProof/>
            <w:webHidden/>
          </w:rPr>
          <w:tab/>
        </w:r>
        <w:r>
          <w:rPr>
            <w:noProof/>
            <w:webHidden/>
          </w:rPr>
          <w:fldChar w:fldCharType="begin"/>
        </w:r>
        <w:r>
          <w:rPr>
            <w:noProof/>
            <w:webHidden/>
          </w:rPr>
          <w:instrText xml:space="preserve"> PAGEREF _Toc508803068 \h </w:instrText>
        </w:r>
        <w:r>
          <w:rPr>
            <w:noProof/>
            <w:webHidden/>
          </w:rPr>
        </w:r>
        <w:r>
          <w:rPr>
            <w:noProof/>
            <w:webHidden/>
          </w:rPr>
          <w:fldChar w:fldCharType="separate"/>
        </w:r>
        <w:r>
          <w:rPr>
            <w:noProof/>
            <w:webHidden/>
          </w:rPr>
          <w:t>ii</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69" w:history="1">
        <w:r w:rsidRPr="00B304D9">
          <w:rPr>
            <w:rStyle w:val="Hyperlink"/>
            <w:noProof/>
          </w:rPr>
          <w:t>And the Plan’s underpinning framework?</w:t>
        </w:r>
        <w:r>
          <w:rPr>
            <w:noProof/>
            <w:webHidden/>
          </w:rPr>
          <w:tab/>
        </w:r>
        <w:r>
          <w:rPr>
            <w:noProof/>
            <w:webHidden/>
          </w:rPr>
          <w:fldChar w:fldCharType="begin"/>
        </w:r>
        <w:r>
          <w:rPr>
            <w:noProof/>
            <w:webHidden/>
          </w:rPr>
          <w:instrText xml:space="preserve"> PAGEREF _Toc508803069 \h </w:instrText>
        </w:r>
        <w:r>
          <w:rPr>
            <w:noProof/>
            <w:webHidden/>
          </w:rPr>
        </w:r>
        <w:r>
          <w:rPr>
            <w:noProof/>
            <w:webHidden/>
          </w:rPr>
          <w:fldChar w:fldCharType="separate"/>
        </w:r>
        <w:r>
          <w:rPr>
            <w:noProof/>
            <w:webHidden/>
          </w:rPr>
          <w:t>ii</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0" w:history="1">
        <w:r w:rsidRPr="00B304D9">
          <w:rPr>
            <w:rStyle w:val="Hyperlink"/>
            <w:noProof/>
          </w:rPr>
          <w:t>Action Agenda</w:t>
        </w:r>
        <w:r>
          <w:rPr>
            <w:noProof/>
            <w:webHidden/>
          </w:rPr>
          <w:tab/>
        </w:r>
        <w:r>
          <w:rPr>
            <w:noProof/>
            <w:webHidden/>
          </w:rPr>
          <w:fldChar w:fldCharType="begin"/>
        </w:r>
        <w:r>
          <w:rPr>
            <w:noProof/>
            <w:webHidden/>
          </w:rPr>
          <w:instrText xml:space="preserve"> PAGEREF _Toc508803070 \h </w:instrText>
        </w:r>
        <w:r>
          <w:rPr>
            <w:noProof/>
            <w:webHidden/>
          </w:rPr>
        </w:r>
        <w:r>
          <w:rPr>
            <w:noProof/>
            <w:webHidden/>
          </w:rPr>
          <w:fldChar w:fldCharType="separate"/>
        </w:r>
        <w:r>
          <w:rPr>
            <w:noProof/>
            <w:webHidden/>
          </w:rPr>
          <w:t>4</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1" w:history="1">
        <w:r w:rsidRPr="00B304D9">
          <w:rPr>
            <w:rStyle w:val="Hyperlink"/>
            <w:noProof/>
          </w:rPr>
          <w:t>Governance</w:t>
        </w:r>
        <w:r>
          <w:rPr>
            <w:noProof/>
            <w:webHidden/>
          </w:rPr>
          <w:tab/>
        </w:r>
        <w:r>
          <w:rPr>
            <w:noProof/>
            <w:webHidden/>
          </w:rPr>
          <w:fldChar w:fldCharType="begin"/>
        </w:r>
        <w:r>
          <w:rPr>
            <w:noProof/>
            <w:webHidden/>
          </w:rPr>
          <w:instrText xml:space="preserve"> PAGEREF _Toc508803071 \h </w:instrText>
        </w:r>
        <w:r>
          <w:rPr>
            <w:noProof/>
            <w:webHidden/>
          </w:rPr>
        </w:r>
        <w:r>
          <w:rPr>
            <w:noProof/>
            <w:webHidden/>
          </w:rPr>
          <w:fldChar w:fldCharType="separate"/>
        </w:r>
        <w:r>
          <w:rPr>
            <w:noProof/>
            <w:webHidden/>
          </w:rPr>
          <w:t>5</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2" w:history="1">
        <w:r w:rsidRPr="00B304D9">
          <w:rPr>
            <w:rStyle w:val="Hyperlink"/>
            <w:noProof/>
          </w:rPr>
          <w:t>Timeline</w:t>
        </w:r>
        <w:r>
          <w:rPr>
            <w:noProof/>
            <w:webHidden/>
          </w:rPr>
          <w:tab/>
        </w:r>
        <w:r>
          <w:rPr>
            <w:noProof/>
            <w:webHidden/>
          </w:rPr>
          <w:fldChar w:fldCharType="begin"/>
        </w:r>
        <w:r>
          <w:rPr>
            <w:noProof/>
            <w:webHidden/>
          </w:rPr>
          <w:instrText xml:space="preserve"> PAGEREF _Toc508803072 \h </w:instrText>
        </w:r>
        <w:r>
          <w:rPr>
            <w:noProof/>
            <w:webHidden/>
          </w:rPr>
        </w:r>
        <w:r>
          <w:rPr>
            <w:noProof/>
            <w:webHidden/>
          </w:rPr>
          <w:fldChar w:fldCharType="separate"/>
        </w:r>
        <w:r>
          <w:rPr>
            <w:noProof/>
            <w:webHidden/>
          </w:rPr>
          <w:t>5</w:t>
        </w:r>
        <w:r>
          <w:rPr>
            <w:noProof/>
            <w:webHidden/>
          </w:rPr>
          <w:fldChar w:fldCharType="end"/>
        </w:r>
      </w:hyperlink>
    </w:p>
    <w:p w:rsidR="002A434E" w:rsidRDefault="00BE7ED1">
      <w:pPr>
        <w:pStyle w:val="TOC1"/>
        <w:rPr>
          <w:rFonts w:eastAsiaTheme="minorEastAsia"/>
          <w:b w:val="0"/>
          <w:noProof/>
          <w:color w:val="auto"/>
          <w:lang w:eastAsia="en-GB"/>
        </w:rPr>
      </w:pPr>
      <w:hyperlink w:anchor="_Toc508803073" w:history="1">
        <w:r w:rsidRPr="00B304D9">
          <w:rPr>
            <w:rStyle w:val="Hyperlink"/>
            <w:noProof/>
          </w:rPr>
          <w:t>1</w:t>
        </w:r>
        <w:r>
          <w:rPr>
            <w:rFonts w:eastAsiaTheme="minorEastAsia"/>
            <w:b w:val="0"/>
            <w:noProof/>
            <w:color w:val="auto"/>
            <w:lang w:eastAsia="en-GB"/>
          </w:rPr>
          <w:tab/>
        </w:r>
        <w:r w:rsidRPr="00B304D9">
          <w:rPr>
            <w:rStyle w:val="Hyperlink"/>
            <w:noProof/>
          </w:rPr>
          <w:t>Foreword</w:t>
        </w:r>
        <w:r>
          <w:rPr>
            <w:noProof/>
            <w:webHidden/>
          </w:rPr>
          <w:tab/>
        </w:r>
        <w:r>
          <w:rPr>
            <w:noProof/>
            <w:webHidden/>
          </w:rPr>
          <w:fldChar w:fldCharType="begin"/>
        </w:r>
        <w:r>
          <w:rPr>
            <w:noProof/>
            <w:webHidden/>
          </w:rPr>
          <w:instrText xml:space="preserve"> PAGEREF _Toc508803073 \h </w:instrText>
        </w:r>
        <w:r>
          <w:rPr>
            <w:noProof/>
            <w:webHidden/>
          </w:rPr>
        </w:r>
        <w:r>
          <w:rPr>
            <w:noProof/>
            <w:webHidden/>
          </w:rPr>
          <w:fldChar w:fldCharType="separate"/>
        </w:r>
        <w:r>
          <w:rPr>
            <w:noProof/>
            <w:webHidden/>
          </w:rPr>
          <w:t>6</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4" w:history="1">
        <w:r w:rsidRPr="00B304D9">
          <w:rPr>
            <w:rStyle w:val="Hyperlink"/>
            <w:noProof/>
          </w:rPr>
          <w:t>[NB – PLACEHOLDER FOR FOREWORD FROM EDWIN BOOTH]</w:t>
        </w:r>
        <w:r>
          <w:rPr>
            <w:noProof/>
            <w:webHidden/>
          </w:rPr>
          <w:tab/>
        </w:r>
        <w:r>
          <w:rPr>
            <w:noProof/>
            <w:webHidden/>
          </w:rPr>
          <w:fldChar w:fldCharType="begin"/>
        </w:r>
        <w:r>
          <w:rPr>
            <w:noProof/>
            <w:webHidden/>
          </w:rPr>
          <w:instrText xml:space="preserve"> PAGEREF _Toc508803074 \h </w:instrText>
        </w:r>
        <w:r>
          <w:rPr>
            <w:noProof/>
            <w:webHidden/>
          </w:rPr>
        </w:r>
        <w:r>
          <w:rPr>
            <w:noProof/>
            <w:webHidden/>
          </w:rPr>
          <w:fldChar w:fldCharType="separate"/>
        </w:r>
        <w:r>
          <w:rPr>
            <w:noProof/>
            <w:webHidden/>
          </w:rPr>
          <w:t>6</w:t>
        </w:r>
        <w:r>
          <w:rPr>
            <w:noProof/>
            <w:webHidden/>
          </w:rPr>
          <w:fldChar w:fldCharType="end"/>
        </w:r>
      </w:hyperlink>
    </w:p>
    <w:p w:rsidR="002A434E" w:rsidRDefault="00BE7ED1">
      <w:pPr>
        <w:pStyle w:val="TOC1"/>
        <w:rPr>
          <w:rFonts w:eastAsiaTheme="minorEastAsia"/>
          <w:b w:val="0"/>
          <w:noProof/>
          <w:color w:val="auto"/>
          <w:lang w:eastAsia="en-GB"/>
        </w:rPr>
      </w:pPr>
      <w:hyperlink w:anchor="_Toc508803075" w:history="1">
        <w:r w:rsidRPr="00B304D9">
          <w:rPr>
            <w:rStyle w:val="Hyperlink"/>
            <w:noProof/>
          </w:rPr>
          <w:t>2</w:t>
        </w:r>
        <w:r>
          <w:rPr>
            <w:rFonts w:eastAsiaTheme="minorEastAsia"/>
            <w:b w:val="0"/>
            <w:noProof/>
            <w:color w:val="auto"/>
            <w:lang w:eastAsia="en-GB"/>
          </w:rPr>
          <w:tab/>
        </w:r>
        <w:r w:rsidRPr="00B304D9">
          <w:rPr>
            <w:rStyle w:val="Hyperlink"/>
            <w:noProof/>
          </w:rPr>
          <w:t>Why an Innovation Plan for Lancashire?</w:t>
        </w:r>
        <w:r>
          <w:rPr>
            <w:noProof/>
            <w:webHidden/>
          </w:rPr>
          <w:tab/>
        </w:r>
        <w:r>
          <w:rPr>
            <w:noProof/>
            <w:webHidden/>
          </w:rPr>
          <w:fldChar w:fldCharType="begin"/>
        </w:r>
        <w:r>
          <w:rPr>
            <w:noProof/>
            <w:webHidden/>
          </w:rPr>
          <w:instrText xml:space="preserve"> PAGEREF _Toc508803075 \h </w:instrText>
        </w:r>
        <w:r>
          <w:rPr>
            <w:noProof/>
            <w:webHidden/>
          </w:rPr>
        </w:r>
        <w:r>
          <w:rPr>
            <w:noProof/>
            <w:webHidden/>
          </w:rPr>
          <w:fldChar w:fldCharType="separate"/>
        </w:r>
        <w:r>
          <w:rPr>
            <w:noProof/>
            <w:webHidden/>
          </w:rPr>
          <w:t>7</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6" w:history="1">
        <w:r w:rsidRPr="00B304D9">
          <w:rPr>
            <w:rStyle w:val="Hyperlink"/>
            <w:noProof/>
          </w:rPr>
          <w:t>Introduction</w:t>
        </w:r>
        <w:r>
          <w:rPr>
            <w:noProof/>
            <w:webHidden/>
          </w:rPr>
          <w:tab/>
        </w:r>
        <w:r>
          <w:rPr>
            <w:noProof/>
            <w:webHidden/>
          </w:rPr>
          <w:fldChar w:fldCharType="begin"/>
        </w:r>
        <w:r>
          <w:rPr>
            <w:noProof/>
            <w:webHidden/>
          </w:rPr>
          <w:instrText xml:space="preserve"> PAGEREF _Toc508803076 \h </w:instrText>
        </w:r>
        <w:r>
          <w:rPr>
            <w:noProof/>
            <w:webHidden/>
          </w:rPr>
        </w:r>
        <w:r>
          <w:rPr>
            <w:noProof/>
            <w:webHidden/>
          </w:rPr>
          <w:fldChar w:fldCharType="separate"/>
        </w:r>
        <w:r>
          <w:rPr>
            <w:noProof/>
            <w:webHidden/>
          </w:rPr>
          <w:t>7</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7" w:history="1">
        <w:r w:rsidRPr="00B304D9">
          <w:rPr>
            <w:rStyle w:val="Hyperlink"/>
            <w:noProof/>
          </w:rPr>
          <w:t>Talking Terms . . .</w:t>
        </w:r>
        <w:r>
          <w:rPr>
            <w:noProof/>
            <w:webHidden/>
          </w:rPr>
          <w:tab/>
        </w:r>
        <w:r>
          <w:rPr>
            <w:noProof/>
            <w:webHidden/>
          </w:rPr>
          <w:fldChar w:fldCharType="begin"/>
        </w:r>
        <w:r>
          <w:rPr>
            <w:noProof/>
            <w:webHidden/>
          </w:rPr>
          <w:instrText xml:space="preserve"> PAGEREF _Toc508803077 \h </w:instrText>
        </w:r>
        <w:r>
          <w:rPr>
            <w:noProof/>
            <w:webHidden/>
          </w:rPr>
        </w:r>
        <w:r>
          <w:rPr>
            <w:noProof/>
            <w:webHidden/>
          </w:rPr>
          <w:fldChar w:fldCharType="separate"/>
        </w:r>
        <w:r>
          <w:rPr>
            <w:noProof/>
            <w:webHidden/>
          </w:rPr>
          <w:t>7</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8" w:history="1">
        <w:r w:rsidRPr="00B304D9">
          <w:rPr>
            <w:rStyle w:val="Hyperlink"/>
            <w:noProof/>
          </w:rPr>
          <w:t>. . . Strengths to build on</w:t>
        </w:r>
        <w:r>
          <w:rPr>
            <w:noProof/>
            <w:webHidden/>
          </w:rPr>
          <w:tab/>
        </w:r>
        <w:r>
          <w:rPr>
            <w:noProof/>
            <w:webHidden/>
          </w:rPr>
          <w:fldChar w:fldCharType="begin"/>
        </w:r>
        <w:r>
          <w:rPr>
            <w:noProof/>
            <w:webHidden/>
          </w:rPr>
          <w:instrText xml:space="preserve"> PAGEREF _Toc508803078 \h </w:instrText>
        </w:r>
        <w:r>
          <w:rPr>
            <w:noProof/>
            <w:webHidden/>
          </w:rPr>
        </w:r>
        <w:r>
          <w:rPr>
            <w:noProof/>
            <w:webHidden/>
          </w:rPr>
          <w:fldChar w:fldCharType="separate"/>
        </w:r>
        <w:r>
          <w:rPr>
            <w:noProof/>
            <w:webHidden/>
          </w:rPr>
          <w:t>8</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79" w:history="1">
        <w:r w:rsidRPr="00B304D9">
          <w:rPr>
            <w:rStyle w:val="Hyperlink"/>
            <w:noProof/>
          </w:rPr>
          <w:t>. . . But challenges too</w:t>
        </w:r>
        <w:r>
          <w:rPr>
            <w:noProof/>
            <w:webHidden/>
          </w:rPr>
          <w:tab/>
        </w:r>
        <w:r>
          <w:rPr>
            <w:noProof/>
            <w:webHidden/>
          </w:rPr>
          <w:fldChar w:fldCharType="begin"/>
        </w:r>
        <w:r>
          <w:rPr>
            <w:noProof/>
            <w:webHidden/>
          </w:rPr>
          <w:instrText xml:space="preserve"> PAGEREF _Toc508803079 \h </w:instrText>
        </w:r>
        <w:r>
          <w:rPr>
            <w:noProof/>
            <w:webHidden/>
          </w:rPr>
        </w:r>
        <w:r>
          <w:rPr>
            <w:noProof/>
            <w:webHidden/>
          </w:rPr>
          <w:fldChar w:fldCharType="separate"/>
        </w:r>
        <w:r>
          <w:rPr>
            <w:noProof/>
            <w:webHidden/>
          </w:rPr>
          <w:t>8</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80" w:history="1">
        <w:r w:rsidRPr="00B304D9">
          <w:rPr>
            <w:rStyle w:val="Hyperlink"/>
            <w:noProof/>
          </w:rPr>
          <w:t>An Appetite for Change</w:t>
        </w:r>
        <w:r>
          <w:rPr>
            <w:noProof/>
            <w:webHidden/>
          </w:rPr>
          <w:tab/>
        </w:r>
        <w:r>
          <w:rPr>
            <w:noProof/>
            <w:webHidden/>
          </w:rPr>
          <w:fldChar w:fldCharType="begin"/>
        </w:r>
        <w:r>
          <w:rPr>
            <w:noProof/>
            <w:webHidden/>
          </w:rPr>
          <w:instrText xml:space="preserve"> PAGEREF _Toc508803080 \h </w:instrText>
        </w:r>
        <w:r>
          <w:rPr>
            <w:noProof/>
            <w:webHidden/>
          </w:rPr>
        </w:r>
        <w:r>
          <w:rPr>
            <w:noProof/>
            <w:webHidden/>
          </w:rPr>
          <w:fldChar w:fldCharType="separate"/>
        </w:r>
        <w:r>
          <w:rPr>
            <w:noProof/>
            <w:webHidden/>
          </w:rPr>
          <w:t>8</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81" w:history="1">
        <w:r w:rsidRPr="00B304D9">
          <w:rPr>
            <w:rStyle w:val="Hyperlink"/>
            <w:noProof/>
          </w:rPr>
          <w:t>Structure of this Plan</w:t>
        </w:r>
        <w:r>
          <w:rPr>
            <w:noProof/>
            <w:webHidden/>
          </w:rPr>
          <w:tab/>
        </w:r>
        <w:r>
          <w:rPr>
            <w:noProof/>
            <w:webHidden/>
          </w:rPr>
          <w:fldChar w:fldCharType="begin"/>
        </w:r>
        <w:r>
          <w:rPr>
            <w:noProof/>
            <w:webHidden/>
          </w:rPr>
          <w:instrText xml:space="preserve"> PAGEREF _Toc508803081 \h </w:instrText>
        </w:r>
        <w:r>
          <w:rPr>
            <w:noProof/>
            <w:webHidden/>
          </w:rPr>
        </w:r>
        <w:r>
          <w:rPr>
            <w:noProof/>
            <w:webHidden/>
          </w:rPr>
          <w:fldChar w:fldCharType="separate"/>
        </w:r>
        <w:r>
          <w:rPr>
            <w:noProof/>
            <w:webHidden/>
          </w:rPr>
          <w:t>8</w:t>
        </w:r>
        <w:r>
          <w:rPr>
            <w:noProof/>
            <w:webHidden/>
          </w:rPr>
          <w:fldChar w:fldCharType="end"/>
        </w:r>
      </w:hyperlink>
    </w:p>
    <w:p w:rsidR="002A434E" w:rsidRDefault="00BE7ED1">
      <w:pPr>
        <w:pStyle w:val="TOC1"/>
        <w:rPr>
          <w:rFonts w:eastAsiaTheme="minorEastAsia"/>
          <w:b w:val="0"/>
          <w:noProof/>
          <w:color w:val="auto"/>
          <w:lang w:eastAsia="en-GB"/>
        </w:rPr>
      </w:pPr>
      <w:hyperlink w:anchor="_Toc508803082" w:history="1">
        <w:r w:rsidRPr="00B304D9">
          <w:rPr>
            <w:rStyle w:val="Hyperlink"/>
            <w:noProof/>
          </w:rPr>
          <w:t>3</w:t>
        </w:r>
        <w:r>
          <w:rPr>
            <w:rFonts w:eastAsiaTheme="minorEastAsia"/>
            <w:b w:val="0"/>
            <w:noProof/>
            <w:color w:val="auto"/>
            <w:lang w:eastAsia="en-GB"/>
          </w:rPr>
          <w:tab/>
        </w:r>
        <w:r w:rsidRPr="00B304D9">
          <w:rPr>
            <w:rStyle w:val="Hyperlink"/>
            <w:noProof/>
          </w:rPr>
          <w:t>Innovation Trends and Policy Context</w:t>
        </w:r>
        <w:r>
          <w:rPr>
            <w:noProof/>
            <w:webHidden/>
          </w:rPr>
          <w:tab/>
        </w:r>
        <w:r>
          <w:rPr>
            <w:noProof/>
            <w:webHidden/>
          </w:rPr>
          <w:fldChar w:fldCharType="begin"/>
        </w:r>
        <w:r>
          <w:rPr>
            <w:noProof/>
            <w:webHidden/>
          </w:rPr>
          <w:instrText xml:space="preserve"> PAGEREF _Toc508803082 \h </w:instrText>
        </w:r>
        <w:r>
          <w:rPr>
            <w:noProof/>
            <w:webHidden/>
          </w:rPr>
        </w:r>
        <w:r>
          <w:rPr>
            <w:noProof/>
            <w:webHidden/>
          </w:rPr>
          <w:fldChar w:fldCharType="separate"/>
        </w:r>
        <w:r>
          <w:rPr>
            <w:noProof/>
            <w:webHidden/>
          </w:rPr>
          <w:t>10</w:t>
        </w:r>
        <w:r>
          <w:rPr>
            <w:noProof/>
            <w:webHidden/>
          </w:rPr>
          <w:fldChar w:fldCharType="end"/>
        </w:r>
      </w:hyperlink>
    </w:p>
    <w:p w:rsidR="002A434E" w:rsidRDefault="00BE7ED1">
      <w:pPr>
        <w:pStyle w:val="TOC1"/>
        <w:rPr>
          <w:rFonts w:eastAsiaTheme="minorEastAsia"/>
          <w:b w:val="0"/>
          <w:noProof/>
          <w:color w:val="auto"/>
          <w:lang w:eastAsia="en-GB"/>
        </w:rPr>
      </w:pPr>
      <w:hyperlink w:anchor="_Toc508803083" w:history="1">
        <w:r w:rsidRPr="00B304D9">
          <w:rPr>
            <w:rStyle w:val="Hyperlink"/>
            <w:noProof/>
          </w:rPr>
          <w:t>4</w:t>
        </w:r>
        <w:r>
          <w:rPr>
            <w:rFonts w:eastAsiaTheme="minorEastAsia"/>
            <w:b w:val="0"/>
            <w:noProof/>
            <w:color w:val="auto"/>
            <w:lang w:eastAsia="en-GB"/>
          </w:rPr>
          <w:tab/>
        </w:r>
        <w:r w:rsidRPr="00B304D9">
          <w:rPr>
            <w:rStyle w:val="Hyperlink"/>
            <w:noProof/>
          </w:rPr>
          <w:t>Lancashire’s</w:t>
        </w:r>
        <w:r w:rsidRPr="00B304D9">
          <w:rPr>
            <w:rStyle w:val="Hyperlink"/>
            <w:noProof/>
          </w:rPr>
          <w:t xml:space="preserve"> Economic and Innovation Landscape</w:t>
        </w:r>
        <w:r>
          <w:rPr>
            <w:noProof/>
            <w:webHidden/>
          </w:rPr>
          <w:tab/>
        </w:r>
        <w:r>
          <w:rPr>
            <w:noProof/>
            <w:webHidden/>
          </w:rPr>
          <w:fldChar w:fldCharType="begin"/>
        </w:r>
        <w:r>
          <w:rPr>
            <w:noProof/>
            <w:webHidden/>
          </w:rPr>
          <w:instrText xml:space="preserve"> PAGEREF _Toc508803083 \h </w:instrText>
        </w:r>
        <w:r>
          <w:rPr>
            <w:noProof/>
            <w:webHidden/>
          </w:rPr>
        </w:r>
        <w:r>
          <w:rPr>
            <w:noProof/>
            <w:webHidden/>
          </w:rPr>
          <w:fldChar w:fldCharType="separate"/>
        </w:r>
        <w:r>
          <w:rPr>
            <w:noProof/>
            <w:webHidden/>
          </w:rPr>
          <w:t>15</w:t>
        </w:r>
        <w:r>
          <w:rPr>
            <w:noProof/>
            <w:webHidden/>
          </w:rPr>
          <w:fldChar w:fldCharType="end"/>
        </w:r>
      </w:hyperlink>
    </w:p>
    <w:p w:rsidR="002A434E" w:rsidRDefault="00BE7ED1">
      <w:pPr>
        <w:pStyle w:val="TOC1"/>
        <w:rPr>
          <w:rFonts w:eastAsiaTheme="minorEastAsia"/>
          <w:b w:val="0"/>
          <w:noProof/>
          <w:color w:val="auto"/>
          <w:lang w:eastAsia="en-GB"/>
        </w:rPr>
      </w:pPr>
      <w:hyperlink w:anchor="_Toc508803084" w:history="1">
        <w:r w:rsidRPr="00B304D9">
          <w:rPr>
            <w:rStyle w:val="Hyperlink"/>
            <w:noProof/>
          </w:rPr>
          <w:t>5</w:t>
        </w:r>
        <w:r>
          <w:rPr>
            <w:rFonts w:eastAsiaTheme="minorEastAsia"/>
            <w:b w:val="0"/>
            <w:noProof/>
            <w:color w:val="auto"/>
            <w:lang w:eastAsia="en-GB"/>
          </w:rPr>
          <w:tab/>
        </w:r>
        <w:r w:rsidRPr="00B304D9">
          <w:rPr>
            <w:rStyle w:val="Hyperlink"/>
            <w:noProof/>
          </w:rPr>
          <w:t>Lancashire’s Innovation Ecosystem</w:t>
        </w:r>
        <w:r>
          <w:rPr>
            <w:noProof/>
            <w:webHidden/>
          </w:rPr>
          <w:tab/>
        </w:r>
        <w:r>
          <w:rPr>
            <w:noProof/>
            <w:webHidden/>
          </w:rPr>
          <w:fldChar w:fldCharType="begin"/>
        </w:r>
        <w:r>
          <w:rPr>
            <w:noProof/>
            <w:webHidden/>
          </w:rPr>
          <w:instrText xml:space="preserve"> PAGEREF _Toc508803084 \h </w:instrText>
        </w:r>
        <w:r>
          <w:rPr>
            <w:noProof/>
            <w:webHidden/>
          </w:rPr>
        </w:r>
        <w:r>
          <w:rPr>
            <w:noProof/>
            <w:webHidden/>
          </w:rPr>
          <w:fldChar w:fldCharType="separate"/>
        </w:r>
        <w:r>
          <w:rPr>
            <w:noProof/>
            <w:webHidden/>
          </w:rPr>
          <w:t>20</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85" w:history="1">
        <w:r w:rsidRPr="00B304D9">
          <w:rPr>
            <w:rStyle w:val="Hyperlink"/>
            <w:noProof/>
          </w:rPr>
          <w:t>Strengths</w:t>
        </w:r>
        <w:r>
          <w:rPr>
            <w:noProof/>
            <w:webHidden/>
          </w:rPr>
          <w:tab/>
        </w:r>
        <w:r>
          <w:rPr>
            <w:noProof/>
            <w:webHidden/>
          </w:rPr>
          <w:fldChar w:fldCharType="begin"/>
        </w:r>
        <w:r>
          <w:rPr>
            <w:noProof/>
            <w:webHidden/>
          </w:rPr>
          <w:instrText xml:space="preserve"> PAGEREF _Toc508803085 \h </w:instrText>
        </w:r>
        <w:r>
          <w:rPr>
            <w:noProof/>
            <w:webHidden/>
          </w:rPr>
        </w:r>
        <w:r>
          <w:rPr>
            <w:noProof/>
            <w:webHidden/>
          </w:rPr>
          <w:fldChar w:fldCharType="separate"/>
        </w:r>
        <w:r>
          <w:rPr>
            <w:noProof/>
            <w:webHidden/>
          </w:rPr>
          <w:t>20</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86" w:history="1">
        <w:r w:rsidRPr="00B304D9">
          <w:rPr>
            <w:rStyle w:val="Hyperlink"/>
            <w:noProof/>
          </w:rPr>
          <w:t>Weaknesses</w:t>
        </w:r>
        <w:r>
          <w:rPr>
            <w:noProof/>
            <w:webHidden/>
          </w:rPr>
          <w:tab/>
        </w:r>
        <w:r>
          <w:rPr>
            <w:noProof/>
            <w:webHidden/>
          </w:rPr>
          <w:fldChar w:fldCharType="begin"/>
        </w:r>
        <w:r>
          <w:rPr>
            <w:noProof/>
            <w:webHidden/>
          </w:rPr>
          <w:instrText xml:space="preserve"> PAGEREF _Toc508803086 \h </w:instrText>
        </w:r>
        <w:r>
          <w:rPr>
            <w:noProof/>
            <w:webHidden/>
          </w:rPr>
        </w:r>
        <w:r>
          <w:rPr>
            <w:noProof/>
            <w:webHidden/>
          </w:rPr>
          <w:fldChar w:fldCharType="separate"/>
        </w:r>
        <w:r>
          <w:rPr>
            <w:noProof/>
            <w:webHidden/>
          </w:rPr>
          <w:t>22</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87" w:history="1">
        <w:r w:rsidRPr="00B304D9">
          <w:rPr>
            <w:rStyle w:val="Hyperlink"/>
            <w:noProof/>
          </w:rPr>
          <w:t>Opportunities</w:t>
        </w:r>
        <w:r>
          <w:rPr>
            <w:noProof/>
            <w:webHidden/>
          </w:rPr>
          <w:tab/>
        </w:r>
        <w:r>
          <w:rPr>
            <w:noProof/>
            <w:webHidden/>
          </w:rPr>
          <w:fldChar w:fldCharType="begin"/>
        </w:r>
        <w:r>
          <w:rPr>
            <w:noProof/>
            <w:webHidden/>
          </w:rPr>
          <w:instrText xml:space="preserve"> PAGEREF _Toc508803087 \h </w:instrText>
        </w:r>
        <w:r>
          <w:rPr>
            <w:noProof/>
            <w:webHidden/>
          </w:rPr>
        </w:r>
        <w:r>
          <w:rPr>
            <w:noProof/>
            <w:webHidden/>
          </w:rPr>
          <w:fldChar w:fldCharType="separate"/>
        </w:r>
        <w:r>
          <w:rPr>
            <w:noProof/>
            <w:webHidden/>
          </w:rPr>
          <w:t>23</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88" w:history="1">
        <w:r w:rsidRPr="00B304D9">
          <w:rPr>
            <w:rStyle w:val="Hyperlink"/>
            <w:noProof/>
          </w:rPr>
          <w:t>Threats</w:t>
        </w:r>
        <w:r>
          <w:rPr>
            <w:noProof/>
            <w:webHidden/>
          </w:rPr>
          <w:tab/>
        </w:r>
        <w:r>
          <w:rPr>
            <w:noProof/>
            <w:webHidden/>
          </w:rPr>
          <w:fldChar w:fldCharType="begin"/>
        </w:r>
        <w:r>
          <w:rPr>
            <w:noProof/>
            <w:webHidden/>
          </w:rPr>
          <w:instrText xml:space="preserve"> PAGEREF _Toc508803088 \h </w:instrText>
        </w:r>
        <w:r>
          <w:rPr>
            <w:noProof/>
            <w:webHidden/>
          </w:rPr>
        </w:r>
        <w:r>
          <w:rPr>
            <w:noProof/>
            <w:webHidden/>
          </w:rPr>
          <w:fldChar w:fldCharType="separate"/>
        </w:r>
        <w:r>
          <w:rPr>
            <w:noProof/>
            <w:webHidden/>
          </w:rPr>
          <w:t>23</w:t>
        </w:r>
        <w:r>
          <w:rPr>
            <w:noProof/>
            <w:webHidden/>
          </w:rPr>
          <w:fldChar w:fldCharType="end"/>
        </w:r>
      </w:hyperlink>
    </w:p>
    <w:p w:rsidR="002A434E" w:rsidRDefault="00BE7ED1">
      <w:pPr>
        <w:pStyle w:val="TOC1"/>
        <w:rPr>
          <w:rFonts w:eastAsiaTheme="minorEastAsia"/>
          <w:b w:val="0"/>
          <w:noProof/>
          <w:color w:val="auto"/>
          <w:lang w:eastAsia="en-GB"/>
        </w:rPr>
      </w:pPr>
      <w:hyperlink w:anchor="_Toc508803089" w:history="1">
        <w:r w:rsidRPr="00B304D9">
          <w:rPr>
            <w:rStyle w:val="Hyperlink"/>
            <w:noProof/>
          </w:rPr>
          <w:t>6</w:t>
        </w:r>
        <w:r>
          <w:rPr>
            <w:rFonts w:eastAsiaTheme="minorEastAsia"/>
            <w:b w:val="0"/>
            <w:noProof/>
            <w:color w:val="auto"/>
            <w:lang w:eastAsia="en-GB"/>
          </w:rPr>
          <w:tab/>
        </w:r>
        <w:r w:rsidRPr="00B304D9">
          <w:rPr>
            <w:rStyle w:val="Hyperlink"/>
            <w:noProof/>
          </w:rPr>
          <w:t>Our Vision for an Innovation Economy</w:t>
        </w:r>
        <w:r>
          <w:rPr>
            <w:noProof/>
            <w:webHidden/>
          </w:rPr>
          <w:tab/>
        </w:r>
        <w:r>
          <w:rPr>
            <w:noProof/>
            <w:webHidden/>
          </w:rPr>
          <w:fldChar w:fldCharType="begin"/>
        </w:r>
        <w:r>
          <w:rPr>
            <w:noProof/>
            <w:webHidden/>
          </w:rPr>
          <w:instrText xml:space="preserve"> PAGEREF _Toc508803089 \h </w:instrText>
        </w:r>
        <w:r>
          <w:rPr>
            <w:noProof/>
            <w:webHidden/>
          </w:rPr>
        </w:r>
        <w:r>
          <w:rPr>
            <w:noProof/>
            <w:webHidden/>
          </w:rPr>
          <w:fldChar w:fldCharType="separate"/>
        </w:r>
        <w:r>
          <w:rPr>
            <w:noProof/>
            <w:webHidden/>
          </w:rPr>
          <w:t>25</w:t>
        </w:r>
        <w:r>
          <w:rPr>
            <w:noProof/>
            <w:webHidden/>
          </w:rPr>
          <w:fldChar w:fldCharType="end"/>
        </w:r>
      </w:hyperlink>
    </w:p>
    <w:p w:rsidR="002A434E" w:rsidRDefault="00BE7ED1">
      <w:pPr>
        <w:pStyle w:val="TOC1"/>
        <w:rPr>
          <w:rFonts w:eastAsiaTheme="minorEastAsia"/>
          <w:b w:val="0"/>
          <w:noProof/>
          <w:color w:val="auto"/>
          <w:lang w:eastAsia="en-GB"/>
        </w:rPr>
      </w:pPr>
      <w:hyperlink w:anchor="_Toc508803090" w:history="1">
        <w:r w:rsidRPr="00B304D9">
          <w:rPr>
            <w:rStyle w:val="Hyperlink"/>
            <w:noProof/>
          </w:rPr>
          <w:t>7</w:t>
        </w:r>
        <w:r>
          <w:rPr>
            <w:rFonts w:eastAsiaTheme="minorEastAsia"/>
            <w:b w:val="0"/>
            <w:noProof/>
            <w:color w:val="auto"/>
            <w:lang w:eastAsia="en-GB"/>
          </w:rPr>
          <w:tab/>
        </w:r>
        <w:r w:rsidRPr="00B304D9">
          <w:rPr>
            <w:rStyle w:val="Hyperlink"/>
            <w:noProof/>
          </w:rPr>
          <w:t>Our Strategic Framework for an Innovation Economy</w:t>
        </w:r>
        <w:r>
          <w:rPr>
            <w:noProof/>
            <w:webHidden/>
          </w:rPr>
          <w:tab/>
        </w:r>
        <w:r>
          <w:rPr>
            <w:noProof/>
            <w:webHidden/>
          </w:rPr>
          <w:fldChar w:fldCharType="begin"/>
        </w:r>
        <w:r>
          <w:rPr>
            <w:noProof/>
            <w:webHidden/>
          </w:rPr>
          <w:instrText xml:space="preserve"> PAGEREF _Toc508803090 \h </w:instrText>
        </w:r>
        <w:r>
          <w:rPr>
            <w:noProof/>
            <w:webHidden/>
          </w:rPr>
        </w:r>
        <w:r>
          <w:rPr>
            <w:noProof/>
            <w:webHidden/>
          </w:rPr>
          <w:fldChar w:fldCharType="separate"/>
        </w:r>
        <w:r>
          <w:rPr>
            <w:noProof/>
            <w:webHidden/>
          </w:rPr>
          <w:t>26</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1" w:history="1">
        <w:r w:rsidRPr="00B304D9">
          <w:rPr>
            <w:rStyle w:val="Hyperlink"/>
            <w:noProof/>
          </w:rPr>
          <w:t>Framework Structure</w:t>
        </w:r>
        <w:r>
          <w:rPr>
            <w:noProof/>
            <w:webHidden/>
          </w:rPr>
          <w:tab/>
        </w:r>
        <w:r>
          <w:rPr>
            <w:noProof/>
            <w:webHidden/>
          </w:rPr>
          <w:fldChar w:fldCharType="begin"/>
        </w:r>
        <w:r>
          <w:rPr>
            <w:noProof/>
            <w:webHidden/>
          </w:rPr>
          <w:instrText xml:space="preserve"> PAGEREF _To</w:instrText>
        </w:r>
        <w:r>
          <w:rPr>
            <w:noProof/>
            <w:webHidden/>
          </w:rPr>
          <w:instrText xml:space="preserve">c508803091 \h </w:instrText>
        </w:r>
        <w:r>
          <w:rPr>
            <w:noProof/>
            <w:webHidden/>
          </w:rPr>
        </w:r>
        <w:r>
          <w:rPr>
            <w:noProof/>
            <w:webHidden/>
          </w:rPr>
          <w:fldChar w:fldCharType="separate"/>
        </w:r>
        <w:r>
          <w:rPr>
            <w:noProof/>
            <w:webHidden/>
          </w:rPr>
          <w:t>26</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2" w:history="1">
        <w:r w:rsidRPr="00B304D9">
          <w:rPr>
            <w:rStyle w:val="Hyperlink"/>
            <w:noProof/>
          </w:rPr>
          <w:t>Innovation Capability</w:t>
        </w:r>
        <w:r>
          <w:rPr>
            <w:noProof/>
            <w:webHidden/>
          </w:rPr>
          <w:tab/>
        </w:r>
        <w:r>
          <w:rPr>
            <w:noProof/>
            <w:webHidden/>
          </w:rPr>
          <w:fldChar w:fldCharType="begin"/>
        </w:r>
        <w:r>
          <w:rPr>
            <w:noProof/>
            <w:webHidden/>
          </w:rPr>
          <w:instrText xml:space="preserve"> PAGEREF _Toc508803092 \h </w:instrText>
        </w:r>
        <w:r>
          <w:rPr>
            <w:noProof/>
            <w:webHidden/>
          </w:rPr>
        </w:r>
        <w:r>
          <w:rPr>
            <w:noProof/>
            <w:webHidden/>
          </w:rPr>
          <w:fldChar w:fldCharType="separate"/>
        </w:r>
        <w:r>
          <w:rPr>
            <w:noProof/>
            <w:webHidden/>
          </w:rPr>
          <w:t>26</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3" w:history="1">
        <w:r w:rsidRPr="00B304D9">
          <w:rPr>
            <w:rStyle w:val="Hyperlink"/>
            <w:noProof/>
          </w:rPr>
          <w:t>Innovation Ecosystem</w:t>
        </w:r>
        <w:r>
          <w:rPr>
            <w:noProof/>
            <w:webHidden/>
          </w:rPr>
          <w:tab/>
        </w:r>
        <w:r>
          <w:rPr>
            <w:noProof/>
            <w:webHidden/>
          </w:rPr>
          <w:fldChar w:fldCharType="begin"/>
        </w:r>
        <w:r>
          <w:rPr>
            <w:noProof/>
            <w:webHidden/>
          </w:rPr>
          <w:instrText xml:space="preserve"> PAGEREF _Toc508803093 \h </w:instrText>
        </w:r>
        <w:r>
          <w:rPr>
            <w:noProof/>
            <w:webHidden/>
          </w:rPr>
        </w:r>
        <w:r>
          <w:rPr>
            <w:noProof/>
            <w:webHidden/>
          </w:rPr>
          <w:fldChar w:fldCharType="separate"/>
        </w:r>
        <w:r>
          <w:rPr>
            <w:noProof/>
            <w:webHidden/>
          </w:rPr>
          <w:t>27</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4" w:history="1">
        <w:r w:rsidRPr="00B304D9">
          <w:rPr>
            <w:rStyle w:val="Hyperlink"/>
            <w:noProof/>
          </w:rPr>
          <w:t>Cross-Cutting Themes</w:t>
        </w:r>
        <w:r>
          <w:rPr>
            <w:noProof/>
            <w:webHidden/>
          </w:rPr>
          <w:tab/>
        </w:r>
        <w:r>
          <w:rPr>
            <w:noProof/>
            <w:webHidden/>
          </w:rPr>
          <w:fldChar w:fldCharType="begin"/>
        </w:r>
        <w:r>
          <w:rPr>
            <w:noProof/>
            <w:webHidden/>
          </w:rPr>
          <w:instrText xml:space="preserve"> PAGEREF _Toc508803094 \h </w:instrText>
        </w:r>
        <w:r>
          <w:rPr>
            <w:noProof/>
            <w:webHidden/>
          </w:rPr>
        </w:r>
        <w:r>
          <w:rPr>
            <w:noProof/>
            <w:webHidden/>
          </w:rPr>
          <w:fldChar w:fldCharType="separate"/>
        </w:r>
        <w:r>
          <w:rPr>
            <w:noProof/>
            <w:webHidden/>
          </w:rPr>
          <w:t>28</w:t>
        </w:r>
        <w:r>
          <w:rPr>
            <w:noProof/>
            <w:webHidden/>
          </w:rPr>
          <w:fldChar w:fldCharType="end"/>
        </w:r>
      </w:hyperlink>
    </w:p>
    <w:p w:rsidR="002A434E" w:rsidRDefault="00BE7ED1">
      <w:pPr>
        <w:pStyle w:val="TOC1"/>
        <w:rPr>
          <w:rFonts w:eastAsiaTheme="minorEastAsia"/>
          <w:b w:val="0"/>
          <w:noProof/>
          <w:color w:val="auto"/>
          <w:lang w:eastAsia="en-GB"/>
        </w:rPr>
      </w:pPr>
      <w:hyperlink w:anchor="_Toc508803095" w:history="1">
        <w:r w:rsidRPr="00B304D9">
          <w:rPr>
            <w:rStyle w:val="Hyperlink"/>
            <w:noProof/>
          </w:rPr>
          <w:t>8</w:t>
        </w:r>
        <w:r>
          <w:rPr>
            <w:rFonts w:eastAsiaTheme="minorEastAsia"/>
            <w:b w:val="0"/>
            <w:noProof/>
            <w:color w:val="auto"/>
            <w:lang w:eastAsia="en-GB"/>
          </w:rPr>
          <w:tab/>
        </w:r>
        <w:r w:rsidRPr="00B304D9">
          <w:rPr>
            <w:rStyle w:val="Hyperlink"/>
            <w:noProof/>
          </w:rPr>
          <w:t>Our Action Agenda for an Innovation Economy</w:t>
        </w:r>
        <w:r>
          <w:rPr>
            <w:noProof/>
            <w:webHidden/>
          </w:rPr>
          <w:tab/>
        </w:r>
        <w:r>
          <w:rPr>
            <w:noProof/>
            <w:webHidden/>
          </w:rPr>
          <w:fldChar w:fldCharType="begin"/>
        </w:r>
        <w:r>
          <w:rPr>
            <w:noProof/>
            <w:webHidden/>
          </w:rPr>
          <w:instrText xml:space="preserve"> PAGEREF _Toc508803095 \h </w:instrText>
        </w:r>
        <w:r>
          <w:rPr>
            <w:noProof/>
            <w:webHidden/>
          </w:rPr>
        </w:r>
        <w:r>
          <w:rPr>
            <w:noProof/>
            <w:webHidden/>
          </w:rPr>
          <w:fldChar w:fldCharType="separate"/>
        </w:r>
        <w:r>
          <w:rPr>
            <w:noProof/>
            <w:webHidden/>
          </w:rPr>
          <w:t>31</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6" w:history="1">
        <w:r w:rsidRPr="00B304D9">
          <w:rPr>
            <w:rStyle w:val="Hyperlink"/>
            <w:noProof/>
          </w:rPr>
          <w:t>Strate</w:t>
        </w:r>
        <w:r w:rsidRPr="00B304D9">
          <w:rPr>
            <w:rStyle w:val="Hyperlink"/>
            <w:noProof/>
          </w:rPr>
          <w:t>gic Aim 1 - Innovation Capability – Staying Ahead</w:t>
        </w:r>
        <w:r>
          <w:rPr>
            <w:noProof/>
            <w:webHidden/>
          </w:rPr>
          <w:tab/>
        </w:r>
        <w:r>
          <w:rPr>
            <w:noProof/>
            <w:webHidden/>
          </w:rPr>
          <w:fldChar w:fldCharType="begin"/>
        </w:r>
        <w:r>
          <w:rPr>
            <w:noProof/>
            <w:webHidden/>
          </w:rPr>
          <w:instrText xml:space="preserve"> PAGEREF _Toc508803096 \h </w:instrText>
        </w:r>
        <w:r>
          <w:rPr>
            <w:noProof/>
            <w:webHidden/>
          </w:rPr>
        </w:r>
        <w:r>
          <w:rPr>
            <w:noProof/>
            <w:webHidden/>
          </w:rPr>
          <w:fldChar w:fldCharType="separate"/>
        </w:r>
        <w:r>
          <w:rPr>
            <w:noProof/>
            <w:webHidden/>
          </w:rPr>
          <w:t>34</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7" w:history="1">
        <w:r w:rsidRPr="00B304D9">
          <w:rPr>
            <w:rStyle w:val="Hyperlink"/>
            <w:noProof/>
          </w:rPr>
          <w:t>Strategic Aim 2 – New Routeways to Excellence</w:t>
        </w:r>
        <w:r>
          <w:rPr>
            <w:noProof/>
            <w:webHidden/>
          </w:rPr>
          <w:tab/>
        </w:r>
        <w:r>
          <w:rPr>
            <w:noProof/>
            <w:webHidden/>
          </w:rPr>
          <w:fldChar w:fldCharType="begin"/>
        </w:r>
        <w:r>
          <w:rPr>
            <w:noProof/>
            <w:webHidden/>
          </w:rPr>
          <w:instrText xml:space="preserve"> PAGEREF _Toc508803097 \h </w:instrText>
        </w:r>
        <w:r>
          <w:rPr>
            <w:noProof/>
            <w:webHidden/>
          </w:rPr>
        </w:r>
        <w:r>
          <w:rPr>
            <w:noProof/>
            <w:webHidden/>
          </w:rPr>
          <w:fldChar w:fldCharType="separate"/>
        </w:r>
        <w:r>
          <w:rPr>
            <w:noProof/>
            <w:webHidden/>
          </w:rPr>
          <w:t>35</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8" w:history="1">
        <w:r w:rsidRPr="00B304D9">
          <w:rPr>
            <w:rStyle w:val="Hyperlink"/>
            <w:noProof/>
          </w:rPr>
          <w:t>Strategic Aim 3 – Broadening the Innovation Base</w:t>
        </w:r>
        <w:r>
          <w:rPr>
            <w:noProof/>
            <w:webHidden/>
          </w:rPr>
          <w:tab/>
        </w:r>
        <w:r>
          <w:rPr>
            <w:noProof/>
            <w:webHidden/>
          </w:rPr>
          <w:fldChar w:fldCharType="begin"/>
        </w:r>
        <w:r>
          <w:rPr>
            <w:noProof/>
            <w:webHidden/>
          </w:rPr>
          <w:instrText xml:space="preserve"> PAGEREF _Toc508803098 \h </w:instrText>
        </w:r>
        <w:r>
          <w:rPr>
            <w:noProof/>
            <w:webHidden/>
          </w:rPr>
        </w:r>
        <w:r>
          <w:rPr>
            <w:noProof/>
            <w:webHidden/>
          </w:rPr>
          <w:fldChar w:fldCharType="separate"/>
        </w:r>
        <w:r>
          <w:rPr>
            <w:noProof/>
            <w:webHidden/>
          </w:rPr>
          <w:t>36</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099" w:history="1">
        <w:r w:rsidRPr="00B304D9">
          <w:rPr>
            <w:rStyle w:val="Hyperlink"/>
            <w:noProof/>
          </w:rPr>
          <w:t>Strategic Aim 4 – Enabling Infrastructures for Innovation</w:t>
        </w:r>
        <w:r>
          <w:rPr>
            <w:noProof/>
            <w:webHidden/>
          </w:rPr>
          <w:tab/>
        </w:r>
        <w:r>
          <w:rPr>
            <w:noProof/>
            <w:webHidden/>
          </w:rPr>
          <w:fldChar w:fldCharType="begin"/>
        </w:r>
        <w:r>
          <w:rPr>
            <w:noProof/>
            <w:webHidden/>
          </w:rPr>
          <w:instrText xml:space="preserve"> PAGEREF _Toc508803099 \h </w:instrText>
        </w:r>
        <w:r>
          <w:rPr>
            <w:noProof/>
            <w:webHidden/>
          </w:rPr>
        </w:r>
        <w:r>
          <w:rPr>
            <w:noProof/>
            <w:webHidden/>
          </w:rPr>
          <w:fldChar w:fldCharType="separate"/>
        </w:r>
        <w:r>
          <w:rPr>
            <w:noProof/>
            <w:webHidden/>
          </w:rPr>
          <w:t>37</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100" w:history="1">
        <w:r w:rsidRPr="00B304D9">
          <w:rPr>
            <w:rStyle w:val="Hyperlink"/>
            <w:noProof/>
          </w:rPr>
          <w:t>Strategic Aim 5 – Letting the World Know!</w:t>
        </w:r>
        <w:r>
          <w:rPr>
            <w:noProof/>
            <w:webHidden/>
          </w:rPr>
          <w:tab/>
        </w:r>
        <w:r>
          <w:rPr>
            <w:noProof/>
            <w:webHidden/>
          </w:rPr>
          <w:fldChar w:fldCharType="begin"/>
        </w:r>
        <w:r>
          <w:rPr>
            <w:noProof/>
            <w:webHidden/>
          </w:rPr>
          <w:instrText xml:space="preserve"> PAGEREF _Toc508803100 \h </w:instrText>
        </w:r>
        <w:r>
          <w:rPr>
            <w:noProof/>
            <w:webHidden/>
          </w:rPr>
        </w:r>
        <w:r>
          <w:rPr>
            <w:noProof/>
            <w:webHidden/>
          </w:rPr>
          <w:fldChar w:fldCharType="separate"/>
        </w:r>
        <w:r>
          <w:rPr>
            <w:noProof/>
            <w:webHidden/>
          </w:rPr>
          <w:t>38</w:t>
        </w:r>
        <w:r>
          <w:rPr>
            <w:noProof/>
            <w:webHidden/>
          </w:rPr>
          <w:fldChar w:fldCharType="end"/>
        </w:r>
      </w:hyperlink>
    </w:p>
    <w:p w:rsidR="002A434E" w:rsidRDefault="00BE7ED1">
      <w:pPr>
        <w:pStyle w:val="TOC1"/>
        <w:rPr>
          <w:rFonts w:eastAsiaTheme="minorEastAsia"/>
          <w:b w:val="0"/>
          <w:noProof/>
          <w:color w:val="auto"/>
          <w:lang w:eastAsia="en-GB"/>
        </w:rPr>
      </w:pPr>
      <w:hyperlink w:anchor="_Toc508803101" w:history="1">
        <w:r w:rsidRPr="00B304D9">
          <w:rPr>
            <w:rStyle w:val="Hyperlink"/>
            <w:noProof/>
          </w:rPr>
          <w:t>9</w:t>
        </w:r>
        <w:r>
          <w:rPr>
            <w:rFonts w:eastAsiaTheme="minorEastAsia"/>
            <w:b w:val="0"/>
            <w:noProof/>
            <w:color w:val="auto"/>
            <w:lang w:eastAsia="en-GB"/>
          </w:rPr>
          <w:tab/>
        </w:r>
        <w:r w:rsidRPr="00B304D9">
          <w:rPr>
            <w:rStyle w:val="Hyperlink"/>
            <w:noProof/>
          </w:rPr>
          <w:t>Leadership and Management of this Innovation Plan</w:t>
        </w:r>
        <w:r>
          <w:rPr>
            <w:noProof/>
            <w:webHidden/>
          </w:rPr>
          <w:tab/>
        </w:r>
        <w:r>
          <w:rPr>
            <w:noProof/>
            <w:webHidden/>
          </w:rPr>
          <w:fldChar w:fldCharType="begin"/>
        </w:r>
        <w:r>
          <w:rPr>
            <w:noProof/>
            <w:webHidden/>
          </w:rPr>
          <w:instrText xml:space="preserve"> P</w:instrText>
        </w:r>
        <w:r>
          <w:rPr>
            <w:noProof/>
            <w:webHidden/>
          </w:rPr>
          <w:instrText xml:space="preserve">AGEREF _Toc508803101 \h </w:instrText>
        </w:r>
        <w:r>
          <w:rPr>
            <w:noProof/>
            <w:webHidden/>
          </w:rPr>
        </w:r>
        <w:r>
          <w:rPr>
            <w:noProof/>
            <w:webHidden/>
          </w:rPr>
          <w:fldChar w:fldCharType="separate"/>
        </w:r>
        <w:r>
          <w:rPr>
            <w:noProof/>
            <w:webHidden/>
          </w:rPr>
          <w:t>39</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102" w:history="1">
        <w:r w:rsidRPr="00B304D9">
          <w:rPr>
            <w:rStyle w:val="Hyperlink"/>
            <w:noProof/>
          </w:rPr>
          <w:t>Functions and Forms</w:t>
        </w:r>
        <w:r>
          <w:rPr>
            <w:noProof/>
            <w:webHidden/>
          </w:rPr>
          <w:tab/>
        </w:r>
        <w:r>
          <w:rPr>
            <w:noProof/>
            <w:webHidden/>
          </w:rPr>
          <w:fldChar w:fldCharType="begin"/>
        </w:r>
        <w:r>
          <w:rPr>
            <w:noProof/>
            <w:webHidden/>
          </w:rPr>
          <w:instrText xml:space="preserve"> PAGEREF _Toc508803102 \h </w:instrText>
        </w:r>
        <w:r>
          <w:rPr>
            <w:noProof/>
            <w:webHidden/>
          </w:rPr>
        </w:r>
        <w:r>
          <w:rPr>
            <w:noProof/>
            <w:webHidden/>
          </w:rPr>
          <w:fldChar w:fldCharType="separate"/>
        </w:r>
        <w:r>
          <w:rPr>
            <w:noProof/>
            <w:webHidden/>
          </w:rPr>
          <w:t>39</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103" w:history="1">
        <w:r w:rsidRPr="00B304D9">
          <w:rPr>
            <w:rStyle w:val="Hyperlink"/>
            <w:noProof/>
          </w:rPr>
          <w:t>A proposed governance model for this Plan</w:t>
        </w:r>
        <w:r>
          <w:rPr>
            <w:noProof/>
            <w:webHidden/>
          </w:rPr>
          <w:tab/>
        </w:r>
        <w:r>
          <w:rPr>
            <w:noProof/>
            <w:webHidden/>
          </w:rPr>
          <w:fldChar w:fldCharType="begin"/>
        </w:r>
        <w:r>
          <w:rPr>
            <w:noProof/>
            <w:webHidden/>
          </w:rPr>
          <w:instrText xml:space="preserve"> PAGEREF _Toc508803103 \h </w:instrText>
        </w:r>
        <w:r>
          <w:rPr>
            <w:noProof/>
            <w:webHidden/>
          </w:rPr>
        </w:r>
        <w:r>
          <w:rPr>
            <w:noProof/>
            <w:webHidden/>
          </w:rPr>
          <w:fldChar w:fldCharType="separate"/>
        </w:r>
        <w:r>
          <w:rPr>
            <w:noProof/>
            <w:webHidden/>
          </w:rPr>
          <w:t>41</w:t>
        </w:r>
        <w:r>
          <w:rPr>
            <w:noProof/>
            <w:webHidden/>
          </w:rPr>
          <w:fldChar w:fldCharType="end"/>
        </w:r>
      </w:hyperlink>
    </w:p>
    <w:p w:rsidR="002A434E" w:rsidRDefault="00BE7ED1">
      <w:pPr>
        <w:pStyle w:val="TOC2"/>
        <w:tabs>
          <w:tab w:val="right" w:leader="dot" w:pos="8471"/>
        </w:tabs>
        <w:rPr>
          <w:rFonts w:eastAsiaTheme="minorEastAsia"/>
          <w:noProof/>
          <w:color w:val="auto"/>
          <w:lang w:eastAsia="en-GB"/>
        </w:rPr>
      </w:pPr>
      <w:hyperlink w:anchor="_Toc508803104" w:history="1">
        <w:r w:rsidRPr="00B304D9">
          <w:rPr>
            <w:rStyle w:val="Hyperlink"/>
            <w:noProof/>
          </w:rPr>
          <w:t>Next Steps</w:t>
        </w:r>
        <w:r>
          <w:rPr>
            <w:noProof/>
            <w:webHidden/>
          </w:rPr>
          <w:tab/>
        </w:r>
        <w:r>
          <w:rPr>
            <w:noProof/>
            <w:webHidden/>
          </w:rPr>
          <w:fldChar w:fldCharType="begin"/>
        </w:r>
        <w:r>
          <w:rPr>
            <w:noProof/>
            <w:webHidden/>
          </w:rPr>
          <w:instrText xml:space="preserve"> PAGEREF _Toc508803104 \h </w:instrText>
        </w:r>
        <w:r>
          <w:rPr>
            <w:noProof/>
            <w:webHidden/>
          </w:rPr>
        </w:r>
        <w:r>
          <w:rPr>
            <w:noProof/>
            <w:webHidden/>
          </w:rPr>
          <w:fldChar w:fldCharType="separate"/>
        </w:r>
        <w:r>
          <w:rPr>
            <w:noProof/>
            <w:webHidden/>
          </w:rPr>
          <w:t>42</w:t>
        </w:r>
        <w:r>
          <w:rPr>
            <w:noProof/>
            <w:webHidden/>
          </w:rPr>
          <w:fldChar w:fldCharType="end"/>
        </w:r>
      </w:hyperlink>
    </w:p>
    <w:p w:rsidR="00012DC1" w:rsidRPr="00A2772C" w:rsidRDefault="00BE7ED1" w:rsidP="00012DC1">
      <w:r w:rsidRPr="00A2772C">
        <w:fldChar w:fldCharType="end"/>
      </w:r>
    </w:p>
    <w:p w:rsidR="00586996" w:rsidRPr="00A2772C" w:rsidRDefault="00BE7ED1" w:rsidP="00D7516F">
      <w:pPr>
        <w:pStyle w:val="TOCHeading"/>
        <w:ind w:left="-567"/>
      </w:pPr>
      <w:bookmarkStart w:id="6" w:name="bmkFiguresLabel"/>
      <w:r w:rsidRPr="00A2772C">
        <w:t>Figures</w:t>
      </w:r>
      <w:bookmarkEnd w:id="6"/>
    </w:p>
    <w:p w:rsidR="002A434E" w:rsidRDefault="00BE7ED1">
      <w:pPr>
        <w:pStyle w:val="TableofFigures"/>
        <w:tabs>
          <w:tab w:val="right" w:leader="dot" w:pos="8471"/>
        </w:tabs>
        <w:rPr>
          <w:rFonts w:eastAsiaTheme="minorEastAsia"/>
          <w:noProof/>
          <w:color w:val="auto"/>
          <w:lang w:eastAsia="en-GB"/>
        </w:rPr>
      </w:pPr>
      <w:r w:rsidRPr="00A2772C">
        <w:fldChar w:fldCharType="begin"/>
      </w:r>
      <w:r w:rsidRPr="00A2772C">
        <w:instrText xml:space="preserve"> TOC \h \z \c "Figure" </w:instrText>
      </w:r>
      <w:r w:rsidRPr="00A2772C">
        <w:fldChar w:fldCharType="separate"/>
      </w:r>
      <w:hyperlink w:anchor="_Toc508803159" w:history="1">
        <w:r w:rsidRPr="00E57D6A">
          <w:rPr>
            <w:rStyle w:val="Hyperlink"/>
            <w:noProof/>
          </w:rPr>
          <w:t>Figure 3 – GVA Growth - Lancashire and regional and national benchmarks</w:t>
        </w:r>
        <w:r>
          <w:rPr>
            <w:noProof/>
            <w:webHidden/>
          </w:rPr>
          <w:tab/>
        </w:r>
        <w:r>
          <w:rPr>
            <w:noProof/>
            <w:webHidden/>
          </w:rPr>
          <w:fldChar w:fldCharType="begin"/>
        </w:r>
        <w:r>
          <w:rPr>
            <w:noProof/>
            <w:webHidden/>
          </w:rPr>
          <w:instrText xml:space="preserve"> PAGEREF _Toc508803159 \h </w:instrText>
        </w:r>
        <w:r>
          <w:rPr>
            <w:noProof/>
            <w:webHidden/>
          </w:rPr>
        </w:r>
        <w:r>
          <w:rPr>
            <w:noProof/>
            <w:webHidden/>
          </w:rPr>
          <w:fldChar w:fldCharType="separate"/>
        </w:r>
        <w:r>
          <w:rPr>
            <w:noProof/>
            <w:webHidden/>
          </w:rPr>
          <w:t>16</w:t>
        </w:r>
        <w:r>
          <w:rPr>
            <w:noProof/>
            <w:webHidden/>
          </w:rPr>
          <w:fldChar w:fldCharType="end"/>
        </w:r>
      </w:hyperlink>
    </w:p>
    <w:p w:rsidR="002A434E" w:rsidRDefault="00BE7ED1">
      <w:pPr>
        <w:pStyle w:val="TableofFigures"/>
        <w:tabs>
          <w:tab w:val="right" w:leader="dot" w:pos="8471"/>
        </w:tabs>
        <w:rPr>
          <w:rFonts w:eastAsiaTheme="minorEastAsia"/>
          <w:noProof/>
          <w:color w:val="auto"/>
          <w:lang w:eastAsia="en-GB"/>
        </w:rPr>
      </w:pPr>
      <w:hyperlink w:anchor="_Toc508803160" w:history="1">
        <w:r w:rsidRPr="00E57D6A">
          <w:rPr>
            <w:rStyle w:val="Hyperlink"/>
            <w:noProof/>
          </w:rPr>
          <w:t>Figure 3 – Expanding Sectors in Lancashire in the period to 2036</w:t>
        </w:r>
        <w:r>
          <w:rPr>
            <w:noProof/>
            <w:webHidden/>
          </w:rPr>
          <w:tab/>
        </w:r>
        <w:r>
          <w:rPr>
            <w:noProof/>
            <w:webHidden/>
          </w:rPr>
          <w:fldChar w:fldCharType="begin"/>
        </w:r>
        <w:r>
          <w:rPr>
            <w:noProof/>
            <w:webHidden/>
          </w:rPr>
          <w:instrText xml:space="preserve"> PAGEREF _Toc508803160 \h </w:instrText>
        </w:r>
        <w:r>
          <w:rPr>
            <w:noProof/>
            <w:webHidden/>
          </w:rPr>
        </w:r>
        <w:r>
          <w:rPr>
            <w:noProof/>
            <w:webHidden/>
          </w:rPr>
          <w:fldChar w:fldCharType="separate"/>
        </w:r>
        <w:r>
          <w:rPr>
            <w:noProof/>
            <w:webHidden/>
          </w:rPr>
          <w:t>17</w:t>
        </w:r>
        <w:r>
          <w:rPr>
            <w:noProof/>
            <w:webHidden/>
          </w:rPr>
          <w:fldChar w:fldCharType="end"/>
        </w:r>
      </w:hyperlink>
    </w:p>
    <w:p w:rsidR="002A434E" w:rsidRDefault="00BE7ED1">
      <w:pPr>
        <w:pStyle w:val="TableofFigures"/>
        <w:tabs>
          <w:tab w:val="right" w:leader="dot" w:pos="8471"/>
        </w:tabs>
        <w:rPr>
          <w:rFonts w:eastAsiaTheme="minorEastAsia"/>
          <w:noProof/>
          <w:color w:val="auto"/>
          <w:lang w:eastAsia="en-GB"/>
        </w:rPr>
      </w:pPr>
      <w:hyperlink w:anchor="_Toc508803161" w:history="1">
        <w:r w:rsidRPr="00E57D6A">
          <w:rPr>
            <w:rStyle w:val="Hyperlink"/>
            <w:noProof/>
          </w:rPr>
          <w:t>Figure 4 – Adjusting Sectors in Lancashire in the period to 2023</w:t>
        </w:r>
        <w:r>
          <w:rPr>
            <w:noProof/>
            <w:webHidden/>
          </w:rPr>
          <w:tab/>
        </w:r>
        <w:r>
          <w:rPr>
            <w:noProof/>
            <w:webHidden/>
          </w:rPr>
          <w:fldChar w:fldCharType="begin"/>
        </w:r>
        <w:r>
          <w:rPr>
            <w:noProof/>
            <w:webHidden/>
          </w:rPr>
          <w:instrText xml:space="preserve"> PAGEREF _Toc508803161 \h </w:instrText>
        </w:r>
        <w:r>
          <w:rPr>
            <w:noProof/>
            <w:webHidden/>
          </w:rPr>
        </w:r>
        <w:r>
          <w:rPr>
            <w:noProof/>
            <w:webHidden/>
          </w:rPr>
          <w:fldChar w:fldCharType="separate"/>
        </w:r>
        <w:r>
          <w:rPr>
            <w:noProof/>
            <w:webHidden/>
          </w:rPr>
          <w:t>18</w:t>
        </w:r>
        <w:r>
          <w:rPr>
            <w:noProof/>
            <w:webHidden/>
          </w:rPr>
          <w:fldChar w:fldCharType="end"/>
        </w:r>
      </w:hyperlink>
    </w:p>
    <w:p w:rsidR="002A434E" w:rsidRDefault="00BE7ED1">
      <w:pPr>
        <w:pStyle w:val="TableofFigures"/>
        <w:tabs>
          <w:tab w:val="right" w:leader="dot" w:pos="8471"/>
        </w:tabs>
        <w:rPr>
          <w:rFonts w:eastAsiaTheme="minorEastAsia"/>
          <w:noProof/>
          <w:color w:val="auto"/>
          <w:lang w:eastAsia="en-GB"/>
        </w:rPr>
      </w:pPr>
      <w:hyperlink w:anchor="_Toc508803162" w:history="1">
        <w:r w:rsidRPr="00E57D6A">
          <w:rPr>
            <w:rStyle w:val="Hyperlink"/>
            <w:noProof/>
          </w:rPr>
          <w:t>Figure 5 – Lancashire Innovation</w:t>
        </w:r>
        <w:r w:rsidRPr="00E57D6A">
          <w:rPr>
            <w:rStyle w:val="Hyperlink"/>
            <w:noProof/>
          </w:rPr>
          <w:t xml:space="preserve"> Asset Map</w:t>
        </w:r>
        <w:r>
          <w:rPr>
            <w:noProof/>
            <w:webHidden/>
          </w:rPr>
          <w:tab/>
        </w:r>
        <w:r>
          <w:rPr>
            <w:noProof/>
            <w:webHidden/>
          </w:rPr>
          <w:fldChar w:fldCharType="begin"/>
        </w:r>
        <w:r>
          <w:rPr>
            <w:noProof/>
            <w:webHidden/>
          </w:rPr>
          <w:instrText xml:space="preserve"> PAGEREF _Toc508803162 \h </w:instrText>
        </w:r>
        <w:r>
          <w:rPr>
            <w:noProof/>
            <w:webHidden/>
          </w:rPr>
        </w:r>
        <w:r>
          <w:rPr>
            <w:noProof/>
            <w:webHidden/>
          </w:rPr>
          <w:fldChar w:fldCharType="separate"/>
        </w:r>
        <w:r>
          <w:rPr>
            <w:noProof/>
            <w:webHidden/>
          </w:rPr>
          <w:t>21</w:t>
        </w:r>
        <w:r>
          <w:rPr>
            <w:noProof/>
            <w:webHidden/>
          </w:rPr>
          <w:fldChar w:fldCharType="end"/>
        </w:r>
      </w:hyperlink>
    </w:p>
    <w:p w:rsidR="002A434E" w:rsidRDefault="00BE7ED1">
      <w:pPr>
        <w:pStyle w:val="TableofFigures"/>
        <w:tabs>
          <w:tab w:val="right" w:leader="dot" w:pos="8471"/>
        </w:tabs>
        <w:rPr>
          <w:rFonts w:eastAsiaTheme="minorEastAsia"/>
          <w:noProof/>
          <w:color w:val="auto"/>
          <w:lang w:eastAsia="en-GB"/>
        </w:rPr>
      </w:pPr>
      <w:hyperlink w:anchor="_Toc508803163" w:history="1">
        <w:r w:rsidRPr="00E57D6A">
          <w:rPr>
            <w:rStyle w:val="Hyperlink"/>
            <w:noProof/>
          </w:rPr>
          <w:t>Figure 6 – Potential Supply Chain Crossovers</w:t>
        </w:r>
        <w:r>
          <w:rPr>
            <w:noProof/>
            <w:webHidden/>
          </w:rPr>
          <w:tab/>
        </w:r>
        <w:r>
          <w:rPr>
            <w:noProof/>
            <w:webHidden/>
          </w:rPr>
          <w:fldChar w:fldCharType="begin"/>
        </w:r>
        <w:r>
          <w:rPr>
            <w:noProof/>
            <w:webHidden/>
          </w:rPr>
          <w:instrText xml:space="preserve"> PAGEREF _Toc508803163 \h </w:instrText>
        </w:r>
        <w:r>
          <w:rPr>
            <w:noProof/>
            <w:webHidden/>
          </w:rPr>
        </w:r>
        <w:r>
          <w:rPr>
            <w:noProof/>
            <w:webHidden/>
          </w:rPr>
          <w:fldChar w:fldCharType="separate"/>
        </w:r>
        <w:r>
          <w:rPr>
            <w:noProof/>
            <w:webHidden/>
          </w:rPr>
          <w:t>24</w:t>
        </w:r>
        <w:r>
          <w:rPr>
            <w:noProof/>
            <w:webHidden/>
          </w:rPr>
          <w:fldChar w:fldCharType="end"/>
        </w:r>
      </w:hyperlink>
    </w:p>
    <w:p w:rsidR="002A434E" w:rsidRDefault="00BE7ED1">
      <w:pPr>
        <w:pStyle w:val="TableofFigures"/>
        <w:tabs>
          <w:tab w:val="right" w:leader="dot" w:pos="8471"/>
        </w:tabs>
        <w:rPr>
          <w:rFonts w:eastAsiaTheme="minorEastAsia"/>
          <w:noProof/>
          <w:color w:val="auto"/>
          <w:lang w:eastAsia="en-GB"/>
        </w:rPr>
      </w:pPr>
      <w:hyperlink r:id="rId23" w:anchor="_Toc508803164" w:history="1">
        <w:r w:rsidRPr="00E57D6A">
          <w:rPr>
            <w:rStyle w:val="Hyperlink"/>
            <w:noProof/>
          </w:rPr>
          <w:t>Figure 7 – The L</w:t>
        </w:r>
        <w:r w:rsidRPr="00E57D6A">
          <w:rPr>
            <w:rStyle w:val="Hyperlink"/>
            <w:noProof/>
          </w:rPr>
          <w:t>ancashire Innovation Plan Strategic Framework</w:t>
        </w:r>
        <w:r>
          <w:rPr>
            <w:noProof/>
            <w:webHidden/>
          </w:rPr>
          <w:tab/>
        </w:r>
        <w:r>
          <w:rPr>
            <w:noProof/>
            <w:webHidden/>
          </w:rPr>
          <w:fldChar w:fldCharType="begin"/>
        </w:r>
        <w:r>
          <w:rPr>
            <w:noProof/>
            <w:webHidden/>
          </w:rPr>
          <w:instrText xml:space="preserve"> PAGEREF _Toc508803164 \h </w:instrText>
        </w:r>
        <w:r>
          <w:rPr>
            <w:noProof/>
            <w:webHidden/>
          </w:rPr>
        </w:r>
        <w:r>
          <w:rPr>
            <w:noProof/>
            <w:webHidden/>
          </w:rPr>
          <w:fldChar w:fldCharType="separate"/>
        </w:r>
        <w:r>
          <w:rPr>
            <w:noProof/>
            <w:webHidden/>
          </w:rPr>
          <w:t>30</w:t>
        </w:r>
        <w:r>
          <w:rPr>
            <w:noProof/>
            <w:webHidden/>
          </w:rPr>
          <w:fldChar w:fldCharType="end"/>
        </w:r>
      </w:hyperlink>
    </w:p>
    <w:p w:rsidR="002A434E" w:rsidRDefault="00BE7ED1">
      <w:pPr>
        <w:pStyle w:val="TableofFigures"/>
        <w:tabs>
          <w:tab w:val="right" w:leader="dot" w:pos="8471"/>
        </w:tabs>
        <w:rPr>
          <w:rFonts w:eastAsiaTheme="minorEastAsia"/>
          <w:noProof/>
          <w:color w:val="auto"/>
          <w:lang w:eastAsia="en-GB"/>
        </w:rPr>
      </w:pPr>
      <w:hyperlink w:anchor="_Toc508803165" w:history="1">
        <w:r w:rsidRPr="00E57D6A">
          <w:rPr>
            <w:rStyle w:val="Hyperlink"/>
            <w:noProof/>
          </w:rPr>
          <w:t>Figure 8 – Proposed Governance Model</w:t>
        </w:r>
        <w:r>
          <w:rPr>
            <w:noProof/>
            <w:webHidden/>
          </w:rPr>
          <w:tab/>
        </w:r>
        <w:r>
          <w:rPr>
            <w:noProof/>
            <w:webHidden/>
          </w:rPr>
          <w:fldChar w:fldCharType="begin"/>
        </w:r>
        <w:r>
          <w:rPr>
            <w:noProof/>
            <w:webHidden/>
          </w:rPr>
          <w:instrText xml:space="preserve"> PAGEREF _Toc508803165 \h </w:instrText>
        </w:r>
        <w:r>
          <w:rPr>
            <w:noProof/>
            <w:webHidden/>
          </w:rPr>
        </w:r>
        <w:r>
          <w:rPr>
            <w:noProof/>
            <w:webHidden/>
          </w:rPr>
          <w:fldChar w:fldCharType="separate"/>
        </w:r>
        <w:r>
          <w:rPr>
            <w:noProof/>
            <w:webHidden/>
          </w:rPr>
          <w:t>41</w:t>
        </w:r>
        <w:r>
          <w:rPr>
            <w:noProof/>
            <w:webHidden/>
          </w:rPr>
          <w:fldChar w:fldCharType="end"/>
        </w:r>
      </w:hyperlink>
    </w:p>
    <w:p w:rsidR="00586996" w:rsidRPr="00A2772C" w:rsidRDefault="00BE7ED1" w:rsidP="00586996">
      <w:r w:rsidRPr="00A2772C">
        <w:rPr>
          <w:b/>
          <w:bCs/>
        </w:rPr>
        <w:fldChar w:fldCharType="end"/>
      </w:r>
    </w:p>
    <w:p w:rsidR="00586996" w:rsidRPr="00A2772C" w:rsidRDefault="00BE7ED1" w:rsidP="00D7516F">
      <w:pPr>
        <w:pStyle w:val="TOCHeading"/>
        <w:ind w:left="-567"/>
      </w:pPr>
      <w:bookmarkStart w:id="7" w:name="bmkTablesLabel"/>
      <w:r w:rsidRPr="00A2772C">
        <w:t>Tables</w:t>
      </w:r>
      <w:bookmarkEnd w:id="7"/>
    </w:p>
    <w:p w:rsidR="002A434E" w:rsidRDefault="00BE7ED1">
      <w:pPr>
        <w:pStyle w:val="TableofFigures"/>
        <w:tabs>
          <w:tab w:val="right" w:leader="dot" w:pos="8471"/>
        </w:tabs>
        <w:rPr>
          <w:rFonts w:eastAsiaTheme="minorEastAsia"/>
          <w:noProof/>
          <w:color w:val="auto"/>
          <w:lang w:eastAsia="en-GB"/>
        </w:rPr>
      </w:pPr>
      <w:r w:rsidRPr="00A2772C">
        <w:fldChar w:fldCharType="begin"/>
      </w:r>
      <w:r w:rsidRPr="00A2772C">
        <w:instrText xml:space="preserve"> TOC \h \z \c "Table" </w:instrText>
      </w:r>
      <w:r w:rsidRPr="00A2772C">
        <w:fldChar w:fldCharType="separate"/>
      </w:r>
      <w:hyperlink w:anchor="_Toc508803169" w:history="1">
        <w:r w:rsidRPr="00F41172">
          <w:rPr>
            <w:rStyle w:val="Hyperlink"/>
            <w:noProof/>
          </w:rPr>
          <w:t>Table 1 – Innovation and Knowledge Indicators</w:t>
        </w:r>
        <w:r>
          <w:rPr>
            <w:noProof/>
            <w:webHidden/>
          </w:rPr>
          <w:tab/>
        </w:r>
        <w:r>
          <w:rPr>
            <w:noProof/>
            <w:webHidden/>
          </w:rPr>
          <w:fldChar w:fldCharType="begin"/>
        </w:r>
        <w:r>
          <w:rPr>
            <w:noProof/>
            <w:webHidden/>
          </w:rPr>
          <w:instrText xml:space="preserve"> PAGEREF _Toc508803169 \h </w:instrText>
        </w:r>
        <w:r>
          <w:rPr>
            <w:noProof/>
            <w:webHidden/>
          </w:rPr>
        </w:r>
        <w:r>
          <w:rPr>
            <w:noProof/>
            <w:webHidden/>
          </w:rPr>
          <w:fldChar w:fldCharType="separate"/>
        </w:r>
        <w:r>
          <w:rPr>
            <w:noProof/>
            <w:webHidden/>
          </w:rPr>
          <w:t>18</w:t>
        </w:r>
        <w:r>
          <w:rPr>
            <w:noProof/>
            <w:webHidden/>
          </w:rPr>
          <w:fldChar w:fldCharType="end"/>
        </w:r>
      </w:hyperlink>
    </w:p>
    <w:p w:rsidR="00F75E82" w:rsidRPr="00A2772C" w:rsidRDefault="00BE7ED1" w:rsidP="00012DC1">
      <w:r w:rsidRPr="00A2772C">
        <w:rPr>
          <w:b/>
          <w:bCs/>
        </w:rPr>
        <w:fldChar w:fldCharType="end"/>
      </w:r>
    </w:p>
    <w:p w:rsidR="00586996" w:rsidRPr="00A2772C" w:rsidRDefault="00BE7ED1" w:rsidP="005F281E">
      <w:pPr>
        <w:pStyle w:val="TOCHeading"/>
        <w:ind w:left="-567"/>
      </w:pPr>
      <w:bookmarkStart w:id="8" w:name="bmkAppendixLabel"/>
      <w:r w:rsidRPr="00A2772C">
        <w:t>Appendices</w:t>
      </w:r>
      <w:bookmarkEnd w:id="8"/>
    </w:p>
    <w:p w:rsidR="00D7516F" w:rsidRPr="00A2772C" w:rsidRDefault="00BE7ED1" w:rsidP="00D7516F">
      <w:pPr>
        <w:pStyle w:val="TOC1"/>
      </w:pPr>
      <w:r w:rsidRPr="004202BD">
        <w:rPr>
          <w:noProof/>
        </w:rPr>
        <w:t xml:space="preserve">A </w:t>
      </w:r>
      <w:r w:rsidRPr="004202BD">
        <w:rPr>
          <w:noProof/>
        </w:rPr>
        <w:tab/>
      </w:r>
      <w:r>
        <w:rPr>
          <w:noProof/>
        </w:rPr>
        <w:t xml:space="preserve">Lancashire’s Innovation </w:t>
      </w:r>
      <w:r w:rsidRPr="004202BD">
        <w:rPr>
          <w:noProof/>
        </w:rPr>
        <w:t>Asset</w:t>
      </w:r>
      <w:r>
        <w:rPr>
          <w:noProof/>
        </w:rPr>
        <w:t>s</w:t>
      </w:r>
      <w:r>
        <w:t xml:space="preserve"> </w:t>
      </w:r>
      <w:r>
        <w:t xml:space="preserve">- </w:t>
      </w:r>
      <w:r>
        <w:t>List</w:t>
      </w:r>
      <w:r>
        <w:t>ing</w:t>
      </w:r>
    </w:p>
    <w:p w:rsidR="000D4609" w:rsidRPr="00A2772C" w:rsidRDefault="00BE7ED1" w:rsidP="00392AD1">
      <w:pPr>
        <w:pStyle w:val="TOC1"/>
        <w:sectPr w:rsidR="000D4609" w:rsidRPr="00A2772C" w:rsidSect="00267890">
          <w:headerReference w:type="even" r:id="rId24"/>
          <w:headerReference w:type="default" r:id="rId25"/>
          <w:footerReference w:type="default" r:id="rId26"/>
          <w:headerReference w:type="first" r:id="rId27"/>
          <w:pgSz w:w="11906" w:h="16838" w:code="9"/>
          <w:pgMar w:top="1440" w:right="1418" w:bottom="1701" w:left="2007" w:header="720" w:footer="720" w:gutter="0"/>
          <w:cols w:space="708"/>
          <w:docGrid w:linePitch="360"/>
        </w:sectPr>
      </w:pPr>
    </w:p>
    <w:p w:rsidR="000D4609" w:rsidRPr="00A2772C" w:rsidRDefault="00BE7ED1" w:rsidP="001A2255">
      <w:pPr>
        <w:pStyle w:val="SDGExec1"/>
      </w:pPr>
      <w:bookmarkStart w:id="9" w:name="bmkForeword"/>
      <w:bookmarkStart w:id="10" w:name="_Toc508803065"/>
      <w:r w:rsidRPr="00A2772C">
        <w:lastRenderedPageBreak/>
        <w:t>Executive Summary</w:t>
      </w:r>
      <w:bookmarkEnd w:id="9"/>
      <w:bookmarkEnd w:id="10"/>
    </w:p>
    <w:p w:rsidR="00BA108C" w:rsidRPr="00A2772C" w:rsidRDefault="00BE7ED1" w:rsidP="00103A7E">
      <w:pPr>
        <w:pStyle w:val="Heading2"/>
      </w:pPr>
      <w:bookmarkStart w:id="11" w:name="_Toc504490208"/>
      <w:bookmarkStart w:id="12" w:name="_Toc504555222"/>
      <w:bookmarkStart w:id="13" w:name="_Toc504563057"/>
      <w:bookmarkStart w:id="14" w:name="_Toc505073256"/>
      <w:bookmarkStart w:id="15" w:name="_Toc505073751"/>
      <w:bookmarkStart w:id="16" w:name="_Toc508803066"/>
      <w:r w:rsidRPr="00A2772C">
        <w:t>The Commission</w:t>
      </w:r>
      <w:bookmarkEnd w:id="11"/>
      <w:bookmarkEnd w:id="12"/>
      <w:bookmarkEnd w:id="13"/>
      <w:bookmarkEnd w:id="14"/>
      <w:bookmarkEnd w:id="15"/>
      <w:bookmarkEnd w:id="16"/>
    </w:p>
    <w:p w:rsidR="008B5A78" w:rsidRPr="00A2772C" w:rsidRDefault="00BE7ED1" w:rsidP="0074708B">
      <w:pPr>
        <w:pStyle w:val="SDGEDExecSummBody"/>
      </w:pPr>
      <w:r>
        <w:t xml:space="preserve">In </w:t>
      </w:r>
      <w:r w:rsidRPr="004B70F5">
        <w:t>Autumn</w:t>
      </w:r>
      <w:r>
        <w:t xml:space="preserve"> 2017, the Lancashire </w:t>
      </w:r>
      <w:r w:rsidRPr="00A2772C">
        <w:t>Local</w:t>
      </w:r>
      <w:r w:rsidRPr="00A2772C">
        <w:t xml:space="preserve"> Enterprise Partnership </w:t>
      </w:r>
      <w:r>
        <w:t xml:space="preserve">(LEP) </w:t>
      </w:r>
      <w:r w:rsidRPr="00A2772C">
        <w:t xml:space="preserve">commissioned </w:t>
      </w:r>
      <w:r>
        <w:t xml:space="preserve">SDG </w:t>
      </w:r>
      <w:r>
        <w:t>Economic</w:t>
      </w:r>
      <w:r>
        <w:t xml:space="preserve"> </w:t>
      </w:r>
      <w:r>
        <w:t>Development</w:t>
      </w:r>
      <w:r>
        <w:t xml:space="preserve"> </w:t>
      </w:r>
      <w:r>
        <w:t xml:space="preserve">(SDG-ED) </w:t>
      </w:r>
      <w:r w:rsidRPr="00A2772C">
        <w:t>to devel</w:t>
      </w:r>
      <w:r w:rsidRPr="00A2772C">
        <w:t xml:space="preserve">op Lancashire’s Innovation Plan, a new Strategic Framework to </w:t>
      </w:r>
      <w:r>
        <w:t xml:space="preserve">drive forward </w:t>
      </w:r>
      <w:r w:rsidRPr="00A2772C">
        <w:t xml:space="preserve">innovation across the County. </w:t>
      </w:r>
      <w:r w:rsidRPr="00A2772C">
        <w:t>Building on the work done to inform Lancashire and Sheffield's Sc</w:t>
      </w:r>
      <w:r w:rsidRPr="00A2772C">
        <w:t>ience and Innovation Audit</w:t>
      </w:r>
      <w:r>
        <w:t xml:space="preserve"> in 2016</w:t>
      </w:r>
      <w:r w:rsidRPr="00A2772C">
        <w:t>, the Plan</w:t>
      </w:r>
      <w:r w:rsidRPr="00A2772C">
        <w:t xml:space="preserve"> provide</w:t>
      </w:r>
      <w:r>
        <w:t>s</w:t>
      </w:r>
      <w:r w:rsidRPr="00A2772C">
        <w:t xml:space="preserve"> a practical analysis of the economic role and contribution of innovation in the </w:t>
      </w:r>
      <w:r>
        <w:t xml:space="preserve">County’s </w:t>
      </w:r>
      <w:r w:rsidRPr="00A2772C">
        <w:t>economy</w:t>
      </w:r>
      <w:r w:rsidRPr="00A2772C">
        <w:t>,</w:t>
      </w:r>
      <w:r w:rsidRPr="00A2772C">
        <w:t xml:space="preserve"> with an informed assessment of how Lancashire's innovation </w:t>
      </w:r>
      <w:r>
        <w:t>resources</w:t>
      </w:r>
      <w:r>
        <w:t xml:space="preserve"> – act</w:t>
      </w:r>
      <w:r>
        <w:t xml:space="preserve">ual </w:t>
      </w:r>
      <w:r>
        <w:t xml:space="preserve">and latent – can be </w:t>
      </w:r>
      <w:r w:rsidRPr="00A2772C">
        <w:t>better</w:t>
      </w:r>
      <w:r w:rsidRPr="00A2772C">
        <w:t xml:space="preserve"> </w:t>
      </w:r>
      <w:r>
        <w:t xml:space="preserve">led and </w:t>
      </w:r>
      <w:r w:rsidRPr="00A2772C">
        <w:t>deployed to drive productivity</w:t>
      </w:r>
      <w:r>
        <w:t xml:space="preserve">, industrial resilience, and sectoral agility in the County’s economy. </w:t>
      </w:r>
    </w:p>
    <w:p w:rsidR="00DF6043" w:rsidRPr="00A2772C" w:rsidRDefault="00BE7ED1" w:rsidP="00DF6043">
      <w:pPr>
        <w:pStyle w:val="Heading2"/>
      </w:pPr>
      <w:bookmarkStart w:id="17" w:name="_Toc504490209"/>
      <w:bookmarkStart w:id="18" w:name="_Toc504555223"/>
      <w:bookmarkStart w:id="19" w:name="_Toc504563058"/>
      <w:bookmarkStart w:id="20" w:name="_Toc505073257"/>
      <w:bookmarkStart w:id="21" w:name="_Toc505073752"/>
      <w:bookmarkStart w:id="22" w:name="_Toc508803067"/>
      <w:r w:rsidRPr="00A2772C">
        <w:t>Context</w:t>
      </w:r>
      <w:bookmarkEnd w:id="17"/>
      <w:bookmarkEnd w:id="18"/>
      <w:bookmarkEnd w:id="19"/>
      <w:bookmarkEnd w:id="20"/>
      <w:bookmarkEnd w:id="21"/>
      <w:bookmarkEnd w:id="22"/>
    </w:p>
    <w:p w:rsidR="00943B77" w:rsidRPr="00A2772C" w:rsidRDefault="00BE7ED1" w:rsidP="0074708B">
      <w:pPr>
        <w:pStyle w:val="SDGEDExecSummBody"/>
      </w:pPr>
      <w:r w:rsidRPr="004B70F5">
        <w:t>Innovation</w:t>
      </w:r>
      <w:r w:rsidRPr="00A2772C">
        <w:t xml:space="preserve"> is increasingly </w:t>
      </w:r>
      <w:r w:rsidRPr="00A2772C">
        <w:t>viewed</w:t>
      </w:r>
      <w:r w:rsidRPr="00A2772C">
        <w:t xml:space="preserve"> as </w:t>
      </w:r>
      <w:r>
        <w:t>a</w:t>
      </w:r>
      <w:r w:rsidRPr="00A2772C">
        <w:t xml:space="preserve"> </w:t>
      </w:r>
      <w:r w:rsidRPr="00A2772C">
        <w:t>key driver to improving productivity across the UK. Business</w:t>
      </w:r>
      <w:r w:rsidRPr="00A2772C">
        <w:t>es</w:t>
      </w:r>
      <w:r w:rsidRPr="00A2772C">
        <w:t xml:space="preserve"> that innovate grow faster than thos</w:t>
      </w:r>
      <w:r w:rsidRPr="00A2772C">
        <w:t>e that do not</w:t>
      </w:r>
      <w:r>
        <w:t xml:space="preserve">, and innovating </w:t>
      </w:r>
      <w:r>
        <w:t>economies</w:t>
      </w:r>
      <w:r>
        <w:t xml:space="preserve"> are more </w:t>
      </w:r>
      <w:r>
        <w:t>resilient</w:t>
      </w:r>
      <w:r>
        <w:t xml:space="preserve"> to </w:t>
      </w:r>
      <w:r>
        <w:t>market</w:t>
      </w:r>
      <w:r>
        <w:t xml:space="preserve"> and technology change, and better equipped to plot their futures </w:t>
      </w:r>
      <w:r>
        <w:t>than</w:t>
      </w:r>
      <w:r>
        <w:t xml:space="preserve"> </w:t>
      </w:r>
      <w:r>
        <w:t>those</w:t>
      </w:r>
      <w:r>
        <w:t xml:space="preserve"> that do not</w:t>
      </w:r>
      <w:r w:rsidRPr="00A2772C">
        <w:t xml:space="preserve">. </w:t>
      </w:r>
      <w:r>
        <w:t xml:space="preserve">Sub-nationally, innovation was </w:t>
      </w:r>
      <w:r>
        <w:t>identified</w:t>
      </w:r>
      <w:r>
        <w:t xml:space="preserve"> as one of the key </w:t>
      </w:r>
      <w:r>
        <w:t>enablers</w:t>
      </w:r>
      <w:r>
        <w:t xml:space="preserve"> of the Northern </w:t>
      </w:r>
      <w:r>
        <w:t>Powerhouse</w:t>
      </w:r>
      <w:r>
        <w:t xml:space="preserve">, and innovation was </w:t>
      </w:r>
      <w:r w:rsidRPr="0074708B">
        <w:rPr>
          <w:noProof/>
        </w:rPr>
        <w:t>front-and-centre</w:t>
      </w:r>
      <w:r>
        <w:t xml:space="preserve"> of last November’s</w:t>
      </w:r>
      <w:r w:rsidRPr="00A2772C">
        <w:t xml:space="preserve"> UK Industrial Strategy</w:t>
      </w:r>
      <w:r>
        <w:t xml:space="preserve">. </w:t>
      </w:r>
      <w:r>
        <w:t xml:space="preserve">Internationally, work by </w:t>
      </w:r>
      <w:r>
        <w:t xml:space="preserve">the Organisation </w:t>
      </w:r>
      <w:r>
        <w:t xml:space="preserve">of </w:t>
      </w:r>
      <w:r>
        <w:t>Economic</w:t>
      </w:r>
      <w:r>
        <w:t xml:space="preserve"> </w:t>
      </w:r>
      <w:r>
        <w:t>Development</w:t>
      </w:r>
      <w:r>
        <w:t xml:space="preserve"> and Cooperation (OECD) is </w:t>
      </w:r>
      <w:r>
        <w:t>highlighting</w:t>
      </w:r>
      <w:r>
        <w:t xml:space="preserve"> the importance of innovation, as technology brings once distant market</w:t>
      </w:r>
      <w:r>
        <w:t>s increasingly close to one another</w:t>
      </w:r>
      <w:r w:rsidRPr="00A2772C">
        <w:t xml:space="preserve">. </w:t>
      </w:r>
      <w:r>
        <w:t xml:space="preserve">So, </w:t>
      </w:r>
      <w:r w:rsidRPr="00A2772C">
        <w:t xml:space="preserve">innovation </w:t>
      </w:r>
      <w:r>
        <w:t xml:space="preserve">matters, and must increasingly be an </w:t>
      </w:r>
      <w:r>
        <w:t>imperative</w:t>
      </w:r>
      <w:r>
        <w:t xml:space="preserve"> for how </w:t>
      </w:r>
      <w:r>
        <w:t>Lancashire ‘works’.</w:t>
      </w:r>
    </w:p>
    <w:p w:rsidR="00001189" w:rsidRPr="00A2772C" w:rsidRDefault="00BE7ED1" w:rsidP="0074708B">
      <w:pPr>
        <w:pStyle w:val="SDGEDExecSummBody"/>
      </w:pPr>
      <w:r>
        <w:t>So</w:t>
      </w:r>
      <w:r>
        <w:t>,</w:t>
      </w:r>
      <w:r>
        <w:t xml:space="preserve"> what is the local </w:t>
      </w:r>
      <w:r>
        <w:t>economic</w:t>
      </w:r>
      <w:r>
        <w:t xml:space="preserve"> context we face? Gross Value Added (</w:t>
      </w:r>
      <w:r w:rsidRPr="00A2772C">
        <w:t>GVA</w:t>
      </w:r>
      <w:r>
        <w:t>)</w:t>
      </w:r>
      <w:r w:rsidRPr="00A2772C">
        <w:t xml:space="preserve"> per head</w:t>
      </w:r>
      <w:r>
        <w:t xml:space="preserve">, the commonly used measure of productivity, </w:t>
      </w:r>
      <w:r w:rsidRPr="00A2772C">
        <w:t>acr</w:t>
      </w:r>
      <w:r w:rsidRPr="00A2772C">
        <w:t>oss Lancashire's local authorit</w:t>
      </w:r>
      <w:r>
        <w:t xml:space="preserve">y geographies </w:t>
      </w:r>
      <w:r w:rsidRPr="00A2772C">
        <w:t>ranges from £31,494, (amongst the top 50 districts in the UK and within the top 20 outside London and the South East) to £14,524 (380th of 395 areas)</w:t>
      </w:r>
      <w:r>
        <w:t xml:space="preserve">. </w:t>
      </w:r>
      <w:r>
        <w:t>So</w:t>
      </w:r>
      <w:r>
        <w:t>,</w:t>
      </w:r>
      <w:r>
        <w:t xml:space="preserve"> our first </w:t>
      </w:r>
      <w:r>
        <w:t>challenge</w:t>
      </w:r>
      <w:r>
        <w:t xml:space="preserve"> is to u</w:t>
      </w:r>
      <w:r>
        <w:t>s</w:t>
      </w:r>
      <w:r>
        <w:t>e innovation t</w:t>
      </w:r>
      <w:r>
        <w:t>o help drive-</w:t>
      </w:r>
      <w:r>
        <w:t>u</w:t>
      </w:r>
      <w:r>
        <w:t xml:space="preserve">p </w:t>
      </w:r>
      <w:r>
        <w:t xml:space="preserve">the productivity performance of our sub-areas to the </w:t>
      </w:r>
      <w:r>
        <w:t>levels</w:t>
      </w:r>
      <w:r>
        <w:t xml:space="preserve"> of our </w:t>
      </w:r>
      <w:r>
        <w:t>county’s best</w:t>
      </w:r>
      <w:r>
        <w:t xml:space="preserve">. </w:t>
      </w:r>
      <w:r>
        <w:t xml:space="preserve">Second, we have many </w:t>
      </w:r>
      <w:r w:rsidRPr="00A2772C">
        <w:t>strengths and assets to build on</w:t>
      </w:r>
      <w:r w:rsidRPr="00A2772C">
        <w:t xml:space="preserve"> to </w:t>
      </w:r>
      <w:r>
        <w:t xml:space="preserve">move our productivity efforts </w:t>
      </w:r>
      <w:r>
        <w:t>forward</w:t>
      </w:r>
      <w:r w:rsidRPr="00A2772C">
        <w:t xml:space="preserve">. </w:t>
      </w:r>
      <w:r>
        <w:t xml:space="preserve">We are </w:t>
      </w:r>
      <w:r w:rsidRPr="00A2772C">
        <w:t>home to leading global businesses at the cutting edge of innovation i</w:t>
      </w:r>
      <w:r w:rsidRPr="00A2772C">
        <w:t xml:space="preserve">n </w:t>
      </w:r>
      <w:r w:rsidRPr="00A2772C">
        <w:t>Advanced Manufacturing</w:t>
      </w:r>
      <w:r w:rsidRPr="00A2772C">
        <w:t>, supported by a supply chain cluster of high</w:t>
      </w:r>
      <w:r>
        <w:t>-</w:t>
      </w:r>
      <w:r w:rsidRPr="00A2772C">
        <w:t xml:space="preserve">tech </w:t>
      </w:r>
      <w:r>
        <w:t>small and medium-size enterprises (</w:t>
      </w:r>
      <w:r w:rsidRPr="00A2772C">
        <w:t>SMEs</w:t>
      </w:r>
      <w:r>
        <w:t>)</w:t>
      </w:r>
      <w:r w:rsidRPr="00A2772C">
        <w:t xml:space="preserve">. There are longstanding and well-known strengths in </w:t>
      </w:r>
      <w:r w:rsidRPr="00A2772C">
        <w:t>Aerospace</w:t>
      </w:r>
      <w:r w:rsidRPr="00A2772C">
        <w:t xml:space="preserve">, </w:t>
      </w:r>
      <w:r w:rsidRPr="00A2772C">
        <w:t>Automotive</w:t>
      </w:r>
      <w:r>
        <w:t>,</w:t>
      </w:r>
      <w:r w:rsidRPr="00A2772C">
        <w:t xml:space="preserve"> </w:t>
      </w:r>
      <w:r w:rsidRPr="00A2772C">
        <w:t xml:space="preserve">and </w:t>
      </w:r>
      <w:r w:rsidRPr="00A2772C">
        <w:t xml:space="preserve">Energy </w:t>
      </w:r>
      <w:r w:rsidRPr="00A2772C">
        <w:t xml:space="preserve">industries and </w:t>
      </w:r>
      <w:r>
        <w:t xml:space="preserve">exciting </w:t>
      </w:r>
      <w:r w:rsidRPr="00A2772C">
        <w:t>emerging strengths</w:t>
      </w:r>
      <w:r w:rsidRPr="00A2772C">
        <w:t xml:space="preserve"> in sectors</w:t>
      </w:r>
      <w:r w:rsidRPr="00A2772C">
        <w:t xml:space="preserve"> </w:t>
      </w:r>
      <w:r w:rsidRPr="00A2772C">
        <w:t xml:space="preserve">including </w:t>
      </w:r>
      <w:r w:rsidRPr="00A2772C">
        <w:t xml:space="preserve">Digital </w:t>
      </w:r>
      <w:r w:rsidRPr="00A2772C">
        <w:t xml:space="preserve">and </w:t>
      </w:r>
      <w:r>
        <w:t xml:space="preserve">Applied </w:t>
      </w:r>
      <w:r w:rsidRPr="00A2772C">
        <w:t>Healthcare</w:t>
      </w:r>
      <w:r w:rsidRPr="00A2772C">
        <w:t xml:space="preserve">. </w:t>
      </w:r>
      <w:r>
        <w:t>Moreover</w:t>
      </w:r>
      <w:r>
        <w:t>, t</w:t>
      </w:r>
      <w:r w:rsidRPr="00A2772C">
        <w:t>he County is</w:t>
      </w:r>
      <w:r w:rsidRPr="00A2772C">
        <w:t xml:space="preserve"> home to high</w:t>
      </w:r>
      <w:r>
        <w:t>-</w:t>
      </w:r>
      <w:r w:rsidRPr="00A2772C">
        <w:t>p</w:t>
      </w:r>
      <w:r w:rsidRPr="00A2772C">
        <w:t>erforming u</w:t>
      </w:r>
      <w:r w:rsidRPr="00A2772C">
        <w:t xml:space="preserve">niversities and Further Education providers, </w:t>
      </w:r>
      <w:r>
        <w:t xml:space="preserve">working closely with </w:t>
      </w:r>
      <w:r w:rsidRPr="00A2772C">
        <w:t>national centres of research excellence</w:t>
      </w:r>
      <w:r w:rsidRPr="00A2772C">
        <w:t xml:space="preserve"> and knowledge transfer partnerships</w:t>
      </w:r>
      <w:r w:rsidRPr="00A2772C">
        <w:t>.</w:t>
      </w:r>
    </w:p>
    <w:p w:rsidR="00001189" w:rsidRPr="00A2772C" w:rsidRDefault="00BE7ED1" w:rsidP="0074708B">
      <w:pPr>
        <w:pStyle w:val="SDGEDExecSummBody"/>
      </w:pPr>
      <w:r>
        <w:t xml:space="preserve">It is </w:t>
      </w:r>
      <w:r>
        <w:t>against</w:t>
      </w:r>
      <w:r>
        <w:t xml:space="preserve"> this bac</w:t>
      </w:r>
      <w:r>
        <w:t xml:space="preserve">kground that this Plan sets out how we will use innovation </w:t>
      </w:r>
      <w:r>
        <w:t xml:space="preserve">more widely, deeply and, </w:t>
      </w:r>
      <w:r>
        <w:t>importantly</w:t>
      </w:r>
      <w:r>
        <w:t>, visibly to drive</w:t>
      </w:r>
      <w:r w:rsidRPr="00A2772C">
        <w:t xml:space="preserve"> the resilience and productivity of </w:t>
      </w:r>
      <w:r>
        <w:t xml:space="preserve">our </w:t>
      </w:r>
      <w:r w:rsidRPr="00C366CC">
        <w:rPr>
          <w:noProof/>
        </w:rPr>
        <w:t>economy</w:t>
      </w:r>
      <w:r w:rsidRPr="00A2772C">
        <w:t xml:space="preserve"> and </w:t>
      </w:r>
      <w:r>
        <w:t xml:space="preserve">enable Lancashire to </w:t>
      </w:r>
      <w:r>
        <w:t>achieve</w:t>
      </w:r>
      <w:r>
        <w:t xml:space="preserve"> its full </w:t>
      </w:r>
      <w:r>
        <w:t>economic</w:t>
      </w:r>
      <w:r>
        <w:t xml:space="preserve"> potential and role and sub-</w:t>
      </w:r>
      <w:r>
        <w:t>national</w:t>
      </w:r>
      <w:r>
        <w:t xml:space="preserve"> and nati</w:t>
      </w:r>
      <w:r>
        <w:t>onal levels</w:t>
      </w:r>
      <w:r>
        <w:t xml:space="preserve">. </w:t>
      </w:r>
      <w:r w:rsidRPr="00A2772C">
        <w:t xml:space="preserve">Informed by evidence and extensive consultation, </w:t>
      </w:r>
      <w:r>
        <w:t xml:space="preserve">this Plan </w:t>
      </w:r>
      <w:r w:rsidRPr="00A2772C">
        <w:t xml:space="preserve">has been prepared to support the innovation agenda </w:t>
      </w:r>
      <w:r>
        <w:t xml:space="preserve">in the County </w:t>
      </w:r>
      <w:r w:rsidRPr="00A2772C">
        <w:t>through to 2030</w:t>
      </w:r>
      <w:r w:rsidRPr="00A2772C">
        <w:t xml:space="preserve">. </w:t>
      </w:r>
      <w:r>
        <w:t xml:space="preserve">The Plan </w:t>
      </w:r>
      <w:r w:rsidRPr="00A2772C">
        <w:t xml:space="preserve">is not a set of rules or regulations, but rather a route map on how we want to </w:t>
      </w:r>
      <w:r>
        <w:t xml:space="preserve">build, </w:t>
      </w:r>
      <w:r>
        <w:t>diffuse</w:t>
      </w:r>
      <w:r>
        <w:t>,</w:t>
      </w:r>
      <w:r>
        <w:t xml:space="preserve"> and embed innovation</w:t>
      </w:r>
      <w:r w:rsidRPr="00A2772C">
        <w:t xml:space="preserve">. It seeks to develop further what we do well currently, identify and stimulate new routeways to innovation, and develop the infrastructures required to innovate across our economy, for the benefit of our businesses, </w:t>
      </w:r>
      <w:r>
        <w:t xml:space="preserve">people and </w:t>
      </w:r>
      <w:r w:rsidRPr="00A2772C">
        <w:t>commun</w:t>
      </w:r>
      <w:r w:rsidRPr="00A2772C">
        <w:t>ities</w:t>
      </w:r>
      <w:r>
        <w:t xml:space="preserve">. </w:t>
      </w:r>
      <w:r>
        <w:t>And, a</w:t>
      </w:r>
      <w:r w:rsidRPr="00A2772C">
        <w:t>s technology and markets do not stand still, this Plan has been designed with flexibility at its core, enabling us to act dynamically in the face of those new challenges that we will face in the coming years.</w:t>
      </w:r>
    </w:p>
    <w:p w:rsidR="00DF6043" w:rsidRPr="00A2772C" w:rsidRDefault="00BE7ED1" w:rsidP="00DF6043">
      <w:pPr>
        <w:pStyle w:val="Heading2"/>
      </w:pPr>
      <w:bookmarkStart w:id="23" w:name="_Toc504490210"/>
      <w:bookmarkStart w:id="24" w:name="_Toc504555224"/>
      <w:bookmarkStart w:id="25" w:name="_Toc504563059"/>
      <w:bookmarkStart w:id="26" w:name="_Toc505073258"/>
      <w:bookmarkStart w:id="27" w:name="_Toc505073753"/>
      <w:bookmarkStart w:id="28" w:name="_Toc508803068"/>
      <w:r>
        <w:lastRenderedPageBreak/>
        <w:t xml:space="preserve">Plan </w:t>
      </w:r>
      <w:r w:rsidRPr="00A2772C">
        <w:t>Process</w:t>
      </w:r>
      <w:bookmarkEnd w:id="23"/>
      <w:bookmarkEnd w:id="24"/>
      <w:bookmarkEnd w:id="25"/>
      <w:bookmarkEnd w:id="26"/>
      <w:bookmarkEnd w:id="27"/>
      <w:bookmarkEnd w:id="28"/>
    </w:p>
    <w:p w:rsidR="002F75CD" w:rsidRPr="00A2772C" w:rsidRDefault="00BE7ED1" w:rsidP="0074708B">
      <w:pPr>
        <w:pStyle w:val="SDGEDExecSummBody"/>
      </w:pPr>
      <w:r w:rsidRPr="00A2772C">
        <w:t xml:space="preserve">The </w:t>
      </w:r>
      <w:r>
        <w:t>Plan’s developmen</w:t>
      </w:r>
      <w:r>
        <w:t xml:space="preserve">t </w:t>
      </w:r>
      <w:r w:rsidRPr="00A2772C">
        <w:t xml:space="preserve">launched with a series of </w:t>
      </w:r>
      <w:r>
        <w:t>‘scoping c</w:t>
      </w:r>
      <w:r w:rsidRPr="00A2772C">
        <w:t>alls</w:t>
      </w:r>
      <w:r>
        <w:t>’</w:t>
      </w:r>
      <w:r w:rsidRPr="00A2772C">
        <w:t xml:space="preserve"> with key senior stakeholders from across the </w:t>
      </w:r>
      <w:r>
        <w:t xml:space="preserve">private and </w:t>
      </w:r>
      <w:r w:rsidRPr="00A2772C">
        <w:t>public sectors. Th</w:t>
      </w:r>
      <w:r>
        <w:t xml:space="preserve">ese </w:t>
      </w:r>
      <w:r w:rsidRPr="00A2772C">
        <w:t xml:space="preserve">included representatives from the Advanced Manufacturing, Aerospace, Automotive, Nuclear, Digital, and Health Sectors. The purpose of these calls was to obtain early-stage inputs from well-placed experts </w:t>
      </w:r>
      <w:r>
        <w:t>on th</w:t>
      </w:r>
      <w:r>
        <w:t xml:space="preserve">ose </w:t>
      </w:r>
      <w:r w:rsidRPr="00A2772C">
        <w:t>aspects of innovation activity and developm</w:t>
      </w:r>
      <w:r w:rsidRPr="00A2772C">
        <w:t>ent in Lancashire</w:t>
      </w:r>
      <w:r>
        <w:t xml:space="preserve"> that the emerging Plan needed to address</w:t>
      </w:r>
      <w:r w:rsidRPr="00A2772C">
        <w:t>.</w:t>
      </w:r>
    </w:p>
    <w:p w:rsidR="002F75CD" w:rsidRPr="00A2772C" w:rsidRDefault="00BE7ED1" w:rsidP="0074708B">
      <w:pPr>
        <w:pStyle w:val="SDGEDExecSummBody"/>
      </w:pPr>
      <w:r w:rsidRPr="00A2772C">
        <w:t xml:space="preserve">Alongside these consultations, a comprehensive analysis of socio-economic and innovation </w:t>
      </w:r>
      <w:r w:rsidRPr="0074708B">
        <w:rPr>
          <w:noProof/>
        </w:rPr>
        <w:t>datasets</w:t>
      </w:r>
      <w:r w:rsidRPr="00A2772C">
        <w:t>, econometric projections</w:t>
      </w:r>
      <w:r>
        <w:t xml:space="preserve"> was undertaken, together with</w:t>
      </w:r>
      <w:r w:rsidRPr="00A2772C">
        <w:t xml:space="preserve"> </w:t>
      </w:r>
      <w:r>
        <w:t>a formal ‘</w:t>
      </w:r>
      <w:r w:rsidRPr="00A2772C">
        <w:t xml:space="preserve">Call </w:t>
      </w:r>
      <w:r w:rsidRPr="00A2772C">
        <w:t xml:space="preserve">for </w:t>
      </w:r>
      <w:r w:rsidRPr="00A2772C">
        <w:t xml:space="preserve">Evidence’ </w:t>
      </w:r>
      <w:r w:rsidRPr="00A2772C">
        <w:t>from key stake</w:t>
      </w:r>
      <w:r w:rsidRPr="00A2772C">
        <w:t>holders in Lancashire</w:t>
      </w:r>
      <w:r>
        <w:t xml:space="preserve">. </w:t>
      </w:r>
      <w:r w:rsidRPr="00A2772C">
        <w:t xml:space="preserve">These analyses were combined to form an assessment of the strengths, weaknesses, opportunities, and threats (SWOT) of Lancashire’s innovation </w:t>
      </w:r>
      <w:r>
        <w:t>‘ecosystem’, providing a clear and objective assessment of where we start from innovation-w</w:t>
      </w:r>
      <w:r>
        <w:t>ise, and where we might go to.</w:t>
      </w:r>
      <w:r>
        <w:t xml:space="preserve"> </w:t>
      </w:r>
      <w:r w:rsidRPr="00A2772C">
        <w:t>The data analys</w:t>
      </w:r>
      <w:r>
        <w:t>e</w:t>
      </w:r>
      <w:r w:rsidRPr="00A2772C">
        <w:t xml:space="preserve">s and SWOT assessment were presented at a </w:t>
      </w:r>
      <w:r>
        <w:t xml:space="preserve">SWOT </w:t>
      </w:r>
      <w:r w:rsidRPr="00A2772C">
        <w:t xml:space="preserve">workshop to </w:t>
      </w:r>
      <w:r w:rsidRPr="00A2772C">
        <w:t>give</w:t>
      </w:r>
      <w:r w:rsidRPr="00A2772C">
        <w:t xml:space="preserve"> a check-and-challenge </w:t>
      </w:r>
      <w:r>
        <w:t xml:space="preserve">to </w:t>
      </w:r>
      <w:r w:rsidRPr="00A2772C">
        <w:t xml:space="preserve">the data and to augment the initial </w:t>
      </w:r>
      <w:r>
        <w:t xml:space="preserve">evidence </w:t>
      </w:r>
      <w:r w:rsidRPr="00A2772C">
        <w:t>assessment. In addition to the SWOT analysis and data analysis, an asset li</w:t>
      </w:r>
      <w:r w:rsidRPr="00A2772C">
        <w:t>st of Lancashire’s innovation assets was developed and iterated throughout. This ‘Asset List’</w:t>
      </w:r>
      <w:r>
        <w:t>, presented at Appendix a to this report,</w:t>
      </w:r>
      <w:r w:rsidRPr="00A2772C">
        <w:t xml:space="preserve"> is a live document which will be maintained on an ongoing basis.</w:t>
      </w:r>
    </w:p>
    <w:p w:rsidR="002F75CD" w:rsidRPr="00A2772C" w:rsidRDefault="00BE7ED1" w:rsidP="0074708B">
      <w:pPr>
        <w:pStyle w:val="SDGEDExecSummBody"/>
      </w:pPr>
      <w:r w:rsidRPr="00A2772C">
        <w:t xml:space="preserve">Following the SWOT workshop, a draft Strategic </w:t>
      </w:r>
      <w:r>
        <w:t>Innovatio</w:t>
      </w:r>
      <w:r>
        <w:t xml:space="preserve">n </w:t>
      </w:r>
      <w:r w:rsidRPr="00A2772C">
        <w:t>Framework was developed. To test th</w:t>
      </w:r>
      <w:r>
        <w:t xml:space="preserve">e </w:t>
      </w:r>
      <w:r w:rsidRPr="00A2772C">
        <w:t xml:space="preserve">emerging Framework a second workshop was held with stakeholders from across the County. The workshop provided additional data analysis and market futures research to enhance the evidence base, </w:t>
      </w:r>
      <w:r>
        <w:t>enabled</w:t>
      </w:r>
      <w:r>
        <w:t xml:space="preserve"> the </w:t>
      </w:r>
      <w:r>
        <w:t>draft</w:t>
      </w:r>
      <w:r>
        <w:t xml:space="preserve"> Framew</w:t>
      </w:r>
      <w:r>
        <w:t>ork.</w:t>
      </w:r>
    </w:p>
    <w:p w:rsidR="002F75CD" w:rsidRDefault="00BE7ED1" w:rsidP="0074708B">
      <w:pPr>
        <w:pStyle w:val="SDGEDExecSummBody"/>
      </w:pPr>
      <w:r w:rsidRPr="00A2772C">
        <w:t xml:space="preserve">A final workshop was held to </w:t>
      </w:r>
      <w:r>
        <w:t xml:space="preserve">drive the </w:t>
      </w:r>
      <w:r>
        <w:t>draft</w:t>
      </w:r>
      <w:r>
        <w:t xml:space="preserve"> </w:t>
      </w:r>
      <w:r>
        <w:t>f</w:t>
      </w:r>
      <w:r>
        <w:t xml:space="preserve">ramework </w:t>
      </w:r>
      <w:r>
        <w:t>from</w:t>
      </w:r>
      <w:r>
        <w:t xml:space="preserve"> </w:t>
      </w:r>
      <w:r w:rsidRPr="00C366CC">
        <w:rPr>
          <w:noProof/>
        </w:rPr>
        <w:t>concept</w:t>
      </w:r>
      <w:r>
        <w:t xml:space="preserve"> </w:t>
      </w:r>
      <w:r w:rsidRPr="00C366CC">
        <w:rPr>
          <w:noProof/>
        </w:rPr>
        <w:t>into</w:t>
      </w:r>
      <w:r>
        <w:t xml:space="preserve"> operating reality, with the </w:t>
      </w:r>
      <w:r>
        <w:t xml:space="preserve">event </w:t>
      </w:r>
      <w:r w:rsidRPr="00C366CC">
        <w:rPr>
          <w:noProof/>
        </w:rPr>
        <w:t>focussing</w:t>
      </w:r>
      <w:r>
        <w:t xml:space="preserve"> on</w:t>
      </w:r>
      <w:r>
        <w:t xml:space="preserve"> </w:t>
      </w:r>
      <w:r w:rsidRPr="00A2772C">
        <w:t xml:space="preserve">identifying the key actions, both existing and new, that </w:t>
      </w:r>
      <w:r>
        <w:t xml:space="preserve">are </w:t>
      </w:r>
      <w:r w:rsidRPr="00A2772C">
        <w:t>needed</w:t>
      </w:r>
      <w:r w:rsidRPr="00A2772C">
        <w:t xml:space="preserve"> to turn th</w:t>
      </w:r>
      <w:r>
        <w:t xml:space="preserve">e framework </w:t>
      </w:r>
      <w:r w:rsidRPr="00A2772C">
        <w:t xml:space="preserve">into action. These fed </w:t>
      </w:r>
      <w:r w:rsidRPr="00C366CC">
        <w:rPr>
          <w:noProof/>
        </w:rPr>
        <w:t>into</w:t>
      </w:r>
      <w:r w:rsidRPr="00A2772C">
        <w:t xml:space="preserve"> the development of the ‘Action Agenda’ </w:t>
      </w:r>
      <w:r>
        <w:t>which is</w:t>
      </w:r>
      <w:r>
        <w:t xml:space="preserve"> described</w:t>
      </w:r>
      <w:r>
        <w:t xml:space="preserve"> later in this document</w:t>
      </w:r>
      <w:r w:rsidRPr="00A2772C">
        <w:t>.</w:t>
      </w:r>
      <w:r>
        <w:t xml:space="preserve"> The evidence base, the strategic framework, and the proposed actions together form our Lancashire Innovation Plan.</w:t>
      </w:r>
    </w:p>
    <w:p w:rsidR="00A9797F" w:rsidRPr="00A2772C" w:rsidRDefault="00BE7ED1" w:rsidP="0074708B">
      <w:pPr>
        <w:pStyle w:val="SDGEDExecSummBody"/>
      </w:pPr>
      <w:r w:rsidRPr="008955E9">
        <w:t xml:space="preserve">Overall, the Plan’s development involved </w:t>
      </w:r>
      <w:r w:rsidRPr="008955E9">
        <w:t xml:space="preserve">over 70 </w:t>
      </w:r>
      <w:r w:rsidRPr="008955E9">
        <w:t>individua</w:t>
      </w:r>
      <w:r w:rsidRPr="008955E9">
        <w:t>ls</w:t>
      </w:r>
      <w:r w:rsidRPr="008955E9">
        <w:t xml:space="preserve"> from over 50</w:t>
      </w:r>
      <w:r w:rsidRPr="008955E9">
        <w:t xml:space="preserve"> organisations from within</w:t>
      </w:r>
      <w:r>
        <w:t>,</w:t>
      </w:r>
      <w:r w:rsidRPr="008955E9">
        <w:t xml:space="preserve"> and outwith</w:t>
      </w:r>
      <w:r>
        <w:t>,</w:t>
      </w:r>
      <w:r w:rsidRPr="008955E9">
        <w:t xml:space="preserve"> the County</w:t>
      </w:r>
      <w:r w:rsidRPr="008955E9">
        <w:t xml:space="preserve">. </w:t>
      </w:r>
      <w:r w:rsidRPr="008955E9">
        <w:t xml:space="preserve">This is the launch platform we start from, and as the Plan </w:t>
      </w:r>
      <w:r w:rsidRPr="008955E9">
        <w:t xml:space="preserve">is </w:t>
      </w:r>
      <w:r w:rsidRPr="008955E9">
        <w:t xml:space="preserve">now </w:t>
      </w:r>
      <w:r w:rsidRPr="008955E9">
        <w:t xml:space="preserve">implemented formally </w:t>
      </w:r>
      <w:r w:rsidRPr="008955E9">
        <w:t xml:space="preserve">we will develop and build on this. </w:t>
      </w:r>
    </w:p>
    <w:p w:rsidR="00DF6043" w:rsidRPr="00A2772C" w:rsidRDefault="00BE7ED1" w:rsidP="002F75CD">
      <w:pPr>
        <w:pStyle w:val="Heading2"/>
      </w:pPr>
      <w:bookmarkStart w:id="29" w:name="_Toc504490211"/>
      <w:bookmarkStart w:id="30" w:name="_Toc504555225"/>
      <w:bookmarkStart w:id="31" w:name="_Toc504563060"/>
      <w:bookmarkStart w:id="32" w:name="_Toc505073259"/>
      <w:bookmarkStart w:id="33" w:name="_Toc505073754"/>
      <w:bookmarkStart w:id="34" w:name="_Toc508803069"/>
      <w:r>
        <w:t>And the Plan’s underpinning framework?</w:t>
      </w:r>
      <w:bookmarkEnd w:id="29"/>
      <w:bookmarkEnd w:id="30"/>
      <w:bookmarkEnd w:id="31"/>
      <w:bookmarkEnd w:id="32"/>
      <w:bookmarkEnd w:id="33"/>
      <w:bookmarkEnd w:id="34"/>
    </w:p>
    <w:p w:rsidR="00005755" w:rsidRPr="00A2772C" w:rsidRDefault="00BE7ED1" w:rsidP="0074708B">
      <w:pPr>
        <w:pStyle w:val="SDGEDExecSummBody"/>
      </w:pPr>
      <w:r>
        <w:t>At the heart of the Innova</w:t>
      </w:r>
      <w:r>
        <w:t>tion is a s</w:t>
      </w:r>
      <w:r>
        <w:t xml:space="preserve">imple framework which sets our </w:t>
      </w:r>
      <w:r>
        <w:t>focus areas for attention as we work</w:t>
      </w:r>
      <w:r>
        <w:t xml:space="preserve"> to</w:t>
      </w:r>
      <w:r>
        <w:t xml:space="preserve"> progress innovation in</w:t>
      </w:r>
      <w:r>
        <w:t xml:space="preserve"> </w:t>
      </w:r>
      <w:r>
        <w:t>the County</w:t>
      </w:r>
      <w:r>
        <w:t>.</w:t>
      </w:r>
      <w:r>
        <w:t xml:space="preserve"> </w:t>
      </w:r>
      <w:r>
        <w:t>The k</w:t>
      </w:r>
      <w:r w:rsidRPr="00A2772C">
        <w:t xml:space="preserve">ey </w:t>
      </w:r>
      <w:r w:rsidRPr="00A2772C">
        <w:t xml:space="preserve">components of </w:t>
      </w:r>
      <w:r>
        <w:t>the framework are</w:t>
      </w:r>
      <w:r w:rsidRPr="00A2772C">
        <w:t>:</w:t>
      </w:r>
    </w:p>
    <w:p w:rsidR="00005755" w:rsidRPr="00A2772C" w:rsidRDefault="00BE7ED1" w:rsidP="00005755">
      <w:pPr>
        <w:pStyle w:val="ListBullet"/>
      </w:pPr>
      <w:r w:rsidRPr="00A2772C">
        <w:t xml:space="preserve">A Vision which describes </w:t>
      </w:r>
      <w:r>
        <w:t xml:space="preserve">the County’s </w:t>
      </w:r>
      <w:r w:rsidRPr="00A2772C">
        <w:t>long-term innovation intent;</w:t>
      </w:r>
      <w:r>
        <w:t xml:space="preserve"> </w:t>
      </w:r>
    </w:p>
    <w:p w:rsidR="00693A4E" w:rsidRPr="00A2772C" w:rsidRDefault="00BE7ED1" w:rsidP="00A13972">
      <w:pPr>
        <w:pStyle w:val="ListBullet"/>
      </w:pPr>
      <w:r w:rsidRPr="00A2772C">
        <w:t xml:space="preserve">Five Strategic Aims which, at </w:t>
      </w:r>
      <w:r w:rsidRPr="00A2772C">
        <w:t xml:space="preserve">a strategic level, define those objectives the </w:t>
      </w:r>
      <w:r>
        <w:t xml:space="preserve">Innovation Plan </w:t>
      </w:r>
      <w:r w:rsidRPr="00A2772C">
        <w:t>is seeking to realise;</w:t>
      </w:r>
      <w:r>
        <w:t xml:space="preserve"> </w:t>
      </w:r>
      <w:r w:rsidRPr="00A2772C">
        <w:t xml:space="preserve">These are configured as a ‘2x3’ structure: two of our Aims relate to our </w:t>
      </w:r>
      <w:r w:rsidRPr="00665F90">
        <w:rPr>
          <w:i/>
        </w:rPr>
        <w:t>innovation capability</w:t>
      </w:r>
      <w:r w:rsidRPr="00A2772C">
        <w:t xml:space="preserve"> – the ability of existing and new businesses to develop, adopt, and commerc</w:t>
      </w:r>
      <w:r w:rsidRPr="00A2772C">
        <w:t xml:space="preserve">ialise innovation, and three Aims relate to </w:t>
      </w:r>
      <w:r>
        <w:t xml:space="preserve">building </w:t>
      </w:r>
      <w:r w:rsidRPr="00665F90">
        <w:rPr>
          <w:i/>
        </w:rPr>
        <w:t>our innovation ecosystem</w:t>
      </w:r>
      <w:r w:rsidRPr="00A2772C">
        <w:t xml:space="preserve"> – building the infrastructures, mindset</w:t>
      </w:r>
      <w:r>
        <w:t>s</w:t>
      </w:r>
      <w:r w:rsidRPr="00A2772C">
        <w:t xml:space="preserve">, </w:t>
      </w:r>
      <w:r>
        <w:t xml:space="preserve">and </w:t>
      </w:r>
      <w:r w:rsidRPr="00A2772C">
        <w:t xml:space="preserve">marketing capability </w:t>
      </w:r>
      <w:r>
        <w:t xml:space="preserve">across the County </w:t>
      </w:r>
      <w:r w:rsidRPr="00A2772C">
        <w:t>necessary for innovation</w:t>
      </w:r>
      <w:r>
        <w:t xml:space="preserve">; </w:t>
      </w:r>
    </w:p>
    <w:p w:rsidR="00005755" w:rsidRDefault="00BE7ED1" w:rsidP="00005755">
      <w:pPr>
        <w:pStyle w:val="ListBullet"/>
      </w:pPr>
      <w:r w:rsidRPr="00A2772C">
        <w:t xml:space="preserve">Within each Strategic Aim, </w:t>
      </w:r>
      <w:r>
        <w:t xml:space="preserve">a </w:t>
      </w:r>
      <w:r>
        <w:t>rationale</w:t>
      </w:r>
      <w:r w:rsidRPr="00A2772C">
        <w:t xml:space="preserve"> for why th</w:t>
      </w:r>
      <w:r>
        <w:t>e</w:t>
      </w:r>
      <w:r w:rsidRPr="00A2772C">
        <w:t xml:space="preserve"> Aim is </w:t>
      </w:r>
      <w:r w:rsidRPr="00A2772C">
        <w:t>needed</w:t>
      </w:r>
      <w:r w:rsidRPr="00A2772C">
        <w:t xml:space="preserve">, and a series of </w:t>
      </w:r>
      <w:r>
        <w:t xml:space="preserve">supporting objectives </w:t>
      </w:r>
      <w:r w:rsidRPr="00A2772C">
        <w:t xml:space="preserve">which define the broad areas of practical activity </w:t>
      </w:r>
      <w:r>
        <w:t xml:space="preserve">to </w:t>
      </w:r>
      <w:r w:rsidRPr="00A2772C">
        <w:t>achieve the Aim; and</w:t>
      </w:r>
    </w:p>
    <w:p w:rsidR="006B6FFD" w:rsidRPr="00A2772C" w:rsidRDefault="00BE7ED1" w:rsidP="00C1126A"/>
    <w:p w:rsidR="006B6FFD" w:rsidRPr="00A2772C" w:rsidRDefault="00BE7ED1" w:rsidP="006B6FFD">
      <w:pPr>
        <w:pStyle w:val="Heading3"/>
        <w:sectPr w:rsidR="006B6FFD" w:rsidRPr="00A2772C" w:rsidSect="0074708B">
          <w:headerReference w:type="even" r:id="rId28"/>
          <w:headerReference w:type="default" r:id="rId29"/>
          <w:footerReference w:type="default" r:id="rId30"/>
          <w:headerReference w:type="first" r:id="rId31"/>
          <w:pgSz w:w="11906" w:h="16838" w:code="9"/>
          <w:pgMar w:top="1440" w:right="1418" w:bottom="1701" w:left="2007" w:header="720" w:footer="720" w:gutter="0"/>
          <w:pgNumType w:fmt="lowerRoman" w:start="1"/>
          <w:cols w:space="708"/>
          <w:docGrid w:linePitch="360"/>
        </w:sectPr>
      </w:pPr>
    </w:p>
    <w:p w:rsidR="001B088E" w:rsidRPr="00A2772C" w:rsidRDefault="00BE7ED1" w:rsidP="00C366CC">
      <w:pPr>
        <w:pStyle w:val="Caption"/>
        <w:ind w:hanging="142"/>
        <w:sectPr w:rsidR="001B088E" w:rsidRPr="00A2772C" w:rsidSect="0074708B">
          <w:pgSz w:w="16838" w:h="11906" w:orient="landscape" w:code="9"/>
          <w:pgMar w:top="142" w:right="1440" w:bottom="284" w:left="1701" w:header="720" w:footer="64" w:gutter="0"/>
          <w:cols w:space="708"/>
          <w:docGrid w:linePitch="360"/>
        </w:sectPr>
      </w:pPr>
      <w:r>
        <w:rPr>
          <w:noProof/>
          <w:lang w:eastAsia="en-GB"/>
        </w:rPr>
        <w:lastRenderedPageBreak/>
        <w:drawing>
          <wp:anchor distT="0" distB="0" distL="114300" distR="114300" simplePos="0" relativeHeight="251662336" behindDoc="0" locked="0" layoutInCell="1" allowOverlap="1">
            <wp:simplePos x="0" y="0"/>
            <wp:positionH relativeFrom="column">
              <wp:posOffset>-18169</wp:posOffset>
            </wp:positionH>
            <wp:positionV relativeFrom="paragraph">
              <wp:posOffset>-141462</wp:posOffset>
            </wp:positionV>
            <wp:extent cx="8691880" cy="66071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9334"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691880" cy="6607175"/>
                    </a:xfrm>
                    <a:prstGeom prst="rect">
                      <a:avLst/>
                    </a:prstGeom>
                    <a:noFill/>
                    <a:ln>
                      <a:noFill/>
                    </a:ln>
                  </pic:spPr>
                </pic:pic>
              </a:graphicData>
            </a:graphic>
          </wp:anchor>
        </w:drawing>
      </w:r>
    </w:p>
    <w:p w:rsidR="00822B42" w:rsidRPr="00A2772C" w:rsidRDefault="00BE7ED1" w:rsidP="00822B42">
      <w:pPr>
        <w:pStyle w:val="ListBullet"/>
      </w:pPr>
      <w:bookmarkStart w:id="35" w:name="_Toc504490212"/>
      <w:bookmarkStart w:id="36" w:name="_Toc504555226"/>
      <w:bookmarkStart w:id="37" w:name="_Toc504563061"/>
      <w:bookmarkStart w:id="38" w:name="_Toc505073260"/>
      <w:bookmarkStart w:id="39" w:name="_Toc505073755"/>
      <w:r>
        <w:lastRenderedPageBreak/>
        <w:t>A defined suite of actions to progress the Plan. These are a mixture of short, medium, and long-term actions that complement and enhance existing and ongoing actions.</w:t>
      </w:r>
    </w:p>
    <w:p w:rsidR="001B088E" w:rsidRPr="00A2772C" w:rsidRDefault="00BE7ED1" w:rsidP="006B6FFD">
      <w:pPr>
        <w:pStyle w:val="Heading2"/>
      </w:pPr>
      <w:bookmarkStart w:id="40" w:name="_Toc508803070"/>
      <w:r w:rsidRPr="00A2772C">
        <w:t>Action Agenda</w:t>
      </w:r>
      <w:bookmarkEnd w:id="35"/>
      <w:bookmarkEnd w:id="36"/>
      <w:bookmarkEnd w:id="37"/>
      <w:bookmarkEnd w:id="38"/>
      <w:bookmarkEnd w:id="39"/>
      <w:bookmarkEnd w:id="40"/>
    </w:p>
    <w:p w:rsidR="00DD1AAF" w:rsidRPr="00A2772C" w:rsidRDefault="00BE7ED1" w:rsidP="0074708B">
      <w:pPr>
        <w:pStyle w:val="SDGEDExecSummBody"/>
      </w:pPr>
      <w:r w:rsidRPr="00A2772C">
        <w:t xml:space="preserve">To </w:t>
      </w:r>
      <w:r w:rsidRPr="00A2772C">
        <w:t>make th</w:t>
      </w:r>
      <w:r>
        <w:t>e</w:t>
      </w:r>
      <w:r w:rsidRPr="00A2772C">
        <w:t xml:space="preserve"> Plan a reality, a series of actions are pr</w:t>
      </w:r>
      <w:r>
        <w:t>oposed:</w:t>
      </w:r>
    </w:p>
    <w:p w:rsidR="001A69C8" w:rsidRDefault="00BE7ED1" w:rsidP="00725A88">
      <w:pPr>
        <w:pStyle w:val="ListBullet"/>
      </w:pPr>
      <w:r w:rsidRPr="00A2772C">
        <w:t xml:space="preserve">For </w:t>
      </w:r>
      <w:r w:rsidRPr="00A2772C">
        <w:t>Strate</w:t>
      </w:r>
      <w:r w:rsidRPr="00A2772C">
        <w:t xml:space="preserve">gic Aim 1 </w:t>
      </w:r>
      <w:r w:rsidRPr="00A2772C">
        <w:t>‘</w:t>
      </w:r>
      <w:r w:rsidRPr="00A2772C">
        <w:t>Staying Ahead</w:t>
      </w:r>
      <w:r w:rsidRPr="00A2772C">
        <w:t xml:space="preserve">’, </w:t>
      </w:r>
      <w:r>
        <w:t xml:space="preserve">key actions will involve: </w:t>
      </w:r>
    </w:p>
    <w:p w:rsidR="00725A88" w:rsidRDefault="00BE7ED1" w:rsidP="008F07DE">
      <w:pPr>
        <w:pStyle w:val="ListBullet2"/>
      </w:pPr>
      <w:r w:rsidRPr="00A2772C">
        <w:t xml:space="preserve">Focus </w:t>
      </w:r>
      <w:r w:rsidRPr="00A2772C">
        <w:t>on d</w:t>
      </w:r>
      <w:r w:rsidRPr="00A2772C">
        <w:t>eliver</w:t>
      </w:r>
      <w:r w:rsidRPr="00A2772C">
        <w:t>ing</w:t>
      </w:r>
      <w:r w:rsidRPr="00A2772C">
        <w:t xml:space="preserve"> the </w:t>
      </w:r>
      <w:r w:rsidRPr="00725A88">
        <w:rPr>
          <w:i/>
        </w:rPr>
        <w:t>Made Smart Review</w:t>
      </w:r>
      <w:r w:rsidRPr="00A2772C">
        <w:t>’s North West National Adoption Programme Pilot</w:t>
      </w:r>
      <w:r>
        <w:t>;</w:t>
      </w:r>
    </w:p>
    <w:p w:rsidR="001A69C8" w:rsidRDefault="00BE7ED1" w:rsidP="008F07DE">
      <w:pPr>
        <w:pStyle w:val="ListBullet2"/>
      </w:pPr>
      <w:r>
        <w:t>C</w:t>
      </w:r>
      <w:r w:rsidRPr="00A2772C">
        <w:t>onnect</w:t>
      </w:r>
      <w:r w:rsidRPr="00A2772C">
        <w:t>ing</w:t>
      </w:r>
      <w:r w:rsidRPr="00A2772C">
        <w:t xml:space="preserve"> with Centr</w:t>
      </w:r>
      <w:r w:rsidRPr="00A2772C">
        <w:t>es of Excellence outside Lancashire</w:t>
      </w:r>
      <w:r>
        <w:t xml:space="preserve">, so helping to improve our participation in national, </w:t>
      </w:r>
      <w:r>
        <w:t>and potentially international, innovation networks</w:t>
      </w:r>
      <w:r>
        <w:t>;</w:t>
      </w:r>
    </w:p>
    <w:p w:rsidR="001A69C8" w:rsidRDefault="00BE7ED1" w:rsidP="00725A88">
      <w:pPr>
        <w:pStyle w:val="ListBullet2"/>
      </w:pPr>
      <w:r w:rsidRPr="00A2772C">
        <w:t xml:space="preserve">Working </w:t>
      </w:r>
      <w:r w:rsidRPr="00A2772C">
        <w:t>in collaboration with large employers in the County to strengthen innovation capa</w:t>
      </w:r>
      <w:r w:rsidRPr="00A2772C">
        <w:t>bilities of their supply chains</w:t>
      </w:r>
      <w:r>
        <w:t>;</w:t>
      </w:r>
    </w:p>
    <w:p w:rsidR="001A69C8" w:rsidRDefault="00BE7ED1" w:rsidP="00725A88">
      <w:pPr>
        <w:pStyle w:val="ListBullet2"/>
      </w:pPr>
      <w:r w:rsidRPr="00A2772C">
        <w:t xml:space="preserve">Developing </w:t>
      </w:r>
      <w:r w:rsidRPr="00A2772C">
        <w:t>a</w:t>
      </w:r>
      <w:r w:rsidRPr="00A2772C">
        <w:t xml:space="preserve"> network of Lancashire ‘Innovation Ambassadors’ to work with local SME</w:t>
      </w:r>
      <w:r w:rsidRPr="00A2772C">
        <w:t>s</w:t>
      </w:r>
      <w:r>
        <w:t>;</w:t>
      </w:r>
      <w:r>
        <w:t xml:space="preserve"> </w:t>
      </w:r>
      <w:r w:rsidRPr="00A2772C">
        <w:t>and</w:t>
      </w:r>
    </w:p>
    <w:p w:rsidR="00894FD9" w:rsidRDefault="00BE7ED1" w:rsidP="00725A88">
      <w:pPr>
        <w:pStyle w:val="ListBullet2"/>
      </w:pPr>
      <w:r>
        <w:t>Implementing</w:t>
      </w:r>
      <w:r>
        <w:t xml:space="preserve"> </w:t>
      </w:r>
      <w:r w:rsidRPr="00A2772C">
        <w:t>a</w:t>
      </w:r>
      <w:r w:rsidRPr="00A2772C">
        <w:t xml:space="preserve"> Lancashire Technology and Market Foresight Observatory</w:t>
      </w:r>
      <w:r w:rsidRPr="00A2772C">
        <w:t>.</w:t>
      </w:r>
    </w:p>
    <w:p w:rsidR="00725A88" w:rsidRDefault="00BE7ED1" w:rsidP="00725A88">
      <w:pPr>
        <w:pStyle w:val="ListBullet2"/>
        <w:numPr>
          <w:ilvl w:val="0"/>
          <w:numId w:val="0"/>
        </w:numPr>
        <w:ind w:left="794"/>
      </w:pPr>
    </w:p>
    <w:p w:rsidR="00725A88" w:rsidRDefault="00BE7ED1" w:rsidP="00725A88">
      <w:pPr>
        <w:pStyle w:val="ListBullet"/>
      </w:pPr>
      <w:r>
        <w:t xml:space="preserve">For </w:t>
      </w:r>
      <w:r w:rsidRPr="00A2772C">
        <w:t xml:space="preserve">Strategic Aim 2 ‘New Routeways to Excellence’, </w:t>
      </w:r>
      <w:r>
        <w:t xml:space="preserve">key actions </w:t>
      </w:r>
      <w:r>
        <w:t xml:space="preserve">will </w:t>
      </w:r>
      <w:r>
        <w:t>involve:</w:t>
      </w:r>
    </w:p>
    <w:p w:rsidR="00725A88" w:rsidRDefault="00BE7ED1" w:rsidP="00725A88">
      <w:pPr>
        <w:pStyle w:val="ListBullet2"/>
      </w:pPr>
      <w:r>
        <w:t>D</w:t>
      </w:r>
      <w:r w:rsidRPr="00A2772C">
        <w:t>eveloping supply chain crossover networks</w:t>
      </w:r>
      <w:r>
        <w:t>;</w:t>
      </w:r>
    </w:p>
    <w:p w:rsidR="00725A88" w:rsidRDefault="00BE7ED1" w:rsidP="00725A88">
      <w:pPr>
        <w:pStyle w:val="ListBullet2"/>
      </w:pPr>
      <w:r>
        <w:t>E</w:t>
      </w:r>
      <w:r w:rsidRPr="00A2772C">
        <w:t>ncouraging an increase in Knowledge</w:t>
      </w:r>
      <w:r>
        <w:t xml:space="preserve"> Transfer Partnershi</w:t>
      </w:r>
      <w:r>
        <w:t>ps (KTPs);</w:t>
      </w:r>
    </w:p>
    <w:p w:rsidR="00725A88" w:rsidRDefault="00BE7ED1" w:rsidP="00725A88">
      <w:pPr>
        <w:pStyle w:val="ListBullet2"/>
      </w:pPr>
      <w:r>
        <w:t>D</w:t>
      </w:r>
      <w:r w:rsidRPr="00A2772C">
        <w:t xml:space="preserve">eveloping Test Beds in new sectors such as </w:t>
      </w:r>
      <w:r w:rsidRPr="00A2772C">
        <w:t>Digital</w:t>
      </w:r>
      <w:r w:rsidRPr="00A2772C">
        <w:t xml:space="preserve">, and initiatives such as </w:t>
      </w:r>
      <w:r>
        <w:t>‘</w:t>
      </w:r>
      <w:r w:rsidRPr="00A2772C">
        <w:t>Failure Labs</w:t>
      </w:r>
      <w:r>
        <w:t>’</w:t>
      </w:r>
      <w:r>
        <w:t xml:space="preserve"> </w:t>
      </w:r>
      <w:r w:rsidRPr="00A2772C">
        <w:t xml:space="preserve">and </w:t>
      </w:r>
      <w:r>
        <w:t>‘</w:t>
      </w:r>
      <w:r w:rsidRPr="00A2772C">
        <w:t>hackathons</w:t>
      </w:r>
      <w:r>
        <w:t>’</w:t>
      </w:r>
      <w:r>
        <w:t xml:space="preserve">, </w:t>
      </w:r>
      <w:r w:rsidRPr="00A2772C">
        <w:t>with different sector foc</w:t>
      </w:r>
      <w:r>
        <w:t>i over time</w:t>
      </w:r>
      <w:r>
        <w:t>; and</w:t>
      </w:r>
    </w:p>
    <w:p w:rsidR="00725A88" w:rsidRDefault="00BE7ED1" w:rsidP="008F07DE">
      <w:pPr>
        <w:pStyle w:val="ListBullet2"/>
      </w:pPr>
      <w:r>
        <w:t xml:space="preserve">Starting </w:t>
      </w:r>
      <w:r>
        <w:t xml:space="preserve">to analyse </w:t>
      </w:r>
      <w:r>
        <w:t>rigorously</w:t>
      </w:r>
      <w:r>
        <w:t xml:space="preserve"> how </w:t>
      </w:r>
      <w:r>
        <w:t>overlaps</w:t>
      </w:r>
      <w:r>
        <w:t xml:space="preserve"> and </w:t>
      </w:r>
      <w:r>
        <w:t>synergies</w:t>
      </w:r>
      <w:r>
        <w:t xml:space="preserve"> between the activities and technolo</w:t>
      </w:r>
      <w:r>
        <w:t xml:space="preserve">gies of our existing sectors can </w:t>
      </w:r>
      <w:r>
        <w:t>be</w:t>
      </w:r>
      <w:r>
        <w:t xml:space="preserve"> drawn out to define new areas of </w:t>
      </w:r>
      <w:r>
        <w:t>sectoral strength</w:t>
      </w:r>
      <w:r>
        <w:t>s</w:t>
      </w:r>
      <w:r>
        <w:t xml:space="preserve"> </w:t>
      </w:r>
      <w:r>
        <w:t>that we can develop</w:t>
      </w:r>
      <w:r>
        <w:t>.</w:t>
      </w:r>
    </w:p>
    <w:p w:rsidR="00725A88" w:rsidRDefault="00BE7ED1" w:rsidP="00725A88">
      <w:pPr>
        <w:pStyle w:val="ListBullet2"/>
        <w:numPr>
          <w:ilvl w:val="0"/>
          <w:numId w:val="0"/>
        </w:numPr>
        <w:ind w:left="794"/>
      </w:pPr>
    </w:p>
    <w:p w:rsidR="00725A88" w:rsidRDefault="00BE7ED1" w:rsidP="00725A88">
      <w:pPr>
        <w:pStyle w:val="ListBullet"/>
      </w:pPr>
      <w:r>
        <w:t>For</w:t>
      </w:r>
      <w:r w:rsidRPr="00A2772C">
        <w:t xml:space="preserve"> Strategic Aim 3 ‘Broadening the Innovation Base’, </w:t>
      </w:r>
      <w:r>
        <w:t xml:space="preserve">key actions </w:t>
      </w:r>
      <w:r>
        <w:t xml:space="preserve">will </w:t>
      </w:r>
      <w:r>
        <w:t>involve:</w:t>
      </w:r>
    </w:p>
    <w:p w:rsidR="00725A88" w:rsidRDefault="00BE7ED1" w:rsidP="00725A88">
      <w:pPr>
        <w:pStyle w:val="ListBullet2"/>
      </w:pPr>
      <w:r>
        <w:t>E</w:t>
      </w:r>
      <w:r w:rsidRPr="00A2772C">
        <w:t>nhancing existing</w:t>
      </w:r>
      <w:r>
        <w:t>,</w:t>
      </w:r>
      <w:r w:rsidRPr="00A2772C">
        <w:t xml:space="preserve"> or </w:t>
      </w:r>
      <w:r>
        <w:t xml:space="preserve">building </w:t>
      </w:r>
      <w:r w:rsidRPr="00A2772C">
        <w:t>new</w:t>
      </w:r>
      <w:r>
        <w:t>,</w:t>
      </w:r>
      <w:r w:rsidRPr="00A2772C">
        <w:t xml:space="preserve"> leadership </w:t>
      </w:r>
      <w:r>
        <w:t xml:space="preserve">development </w:t>
      </w:r>
      <w:r w:rsidRPr="00A2772C">
        <w:t xml:space="preserve">programme </w:t>
      </w:r>
      <w:r>
        <w:t>activities, ensuring that innovation is given the same priority as wider core business disciplines</w:t>
      </w:r>
      <w:r>
        <w:t>;</w:t>
      </w:r>
    </w:p>
    <w:p w:rsidR="00725A88" w:rsidRDefault="00BE7ED1" w:rsidP="00725A88">
      <w:pPr>
        <w:pStyle w:val="ListBullet2"/>
      </w:pPr>
      <w:r>
        <w:t>E</w:t>
      </w:r>
      <w:r w:rsidRPr="00A2772C">
        <w:t>nsuring relevant capital developments include provision for incub</w:t>
      </w:r>
      <w:r>
        <w:t>ating innovation-led start-ups;</w:t>
      </w:r>
    </w:p>
    <w:p w:rsidR="00725A88" w:rsidRDefault="00BE7ED1" w:rsidP="00725A88">
      <w:pPr>
        <w:pStyle w:val="ListBullet2"/>
      </w:pPr>
      <w:r>
        <w:t>F</w:t>
      </w:r>
      <w:r w:rsidRPr="00A2772C">
        <w:t>acilitating networking between innovation and i</w:t>
      </w:r>
      <w:r w:rsidRPr="00A2772C">
        <w:t>ncubation cen</w:t>
      </w:r>
      <w:r>
        <w:t xml:space="preserve">tres </w:t>
      </w:r>
      <w:r>
        <w:t xml:space="preserve">within and outwith the County </w:t>
      </w:r>
      <w:r>
        <w:t>to share best practice; and</w:t>
      </w:r>
    </w:p>
    <w:p w:rsidR="00DD1AAF" w:rsidRDefault="00BE7ED1" w:rsidP="00725A88">
      <w:pPr>
        <w:pStyle w:val="ListBullet2"/>
      </w:pPr>
      <w:r>
        <w:t>D</w:t>
      </w:r>
      <w:r w:rsidRPr="00A2772C">
        <w:t xml:space="preserve">eveloping a programme of visits </w:t>
      </w:r>
      <w:r w:rsidRPr="00A2772C">
        <w:t xml:space="preserve">to Lancashire </w:t>
      </w:r>
      <w:r w:rsidRPr="00A2772C">
        <w:t>from innovation success stories across the</w:t>
      </w:r>
      <w:r>
        <w:t xml:space="preserve"> world</w:t>
      </w:r>
      <w:r>
        <w:t xml:space="preserve">, helping to stimulate global networking, and bringing best practice to Lancashire’s </w:t>
      </w:r>
      <w:r>
        <w:t>attention</w:t>
      </w:r>
      <w:r w:rsidRPr="00A2772C">
        <w:t>.</w:t>
      </w:r>
    </w:p>
    <w:p w:rsidR="00725A88" w:rsidRPr="00A2772C" w:rsidRDefault="00BE7ED1" w:rsidP="00725A88">
      <w:pPr>
        <w:pStyle w:val="ListBullet2"/>
        <w:numPr>
          <w:ilvl w:val="0"/>
          <w:numId w:val="0"/>
        </w:numPr>
        <w:ind w:left="794"/>
      </w:pPr>
    </w:p>
    <w:p w:rsidR="00725A88" w:rsidRDefault="00BE7ED1" w:rsidP="00725A88">
      <w:pPr>
        <w:pStyle w:val="ListBullet"/>
      </w:pPr>
      <w:r w:rsidRPr="00A2772C">
        <w:t xml:space="preserve">For Strategic Aim 4 ‘Enabling Infrastructures for Innovation’, </w:t>
      </w:r>
      <w:r>
        <w:t xml:space="preserve">key actions </w:t>
      </w:r>
      <w:r>
        <w:t xml:space="preserve">will </w:t>
      </w:r>
      <w:r>
        <w:t>involve:</w:t>
      </w:r>
    </w:p>
    <w:p w:rsidR="00725A88" w:rsidRDefault="00BE7ED1" w:rsidP="00725A88">
      <w:pPr>
        <w:pStyle w:val="ListBullet2"/>
      </w:pPr>
      <w:r>
        <w:t>C</w:t>
      </w:r>
      <w:r w:rsidRPr="00A2772C">
        <w:t xml:space="preserve">reating an </w:t>
      </w:r>
      <w:r>
        <w:t>‘</w:t>
      </w:r>
      <w:r w:rsidRPr="00A2772C">
        <w:t>innovation gradua</w:t>
      </w:r>
      <w:r>
        <w:t>te</w:t>
      </w:r>
      <w:r>
        <w:t>’</w:t>
      </w:r>
      <w:r>
        <w:t xml:space="preserve"> placement programme for SMEs;</w:t>
      </w:r>
    </w:p>
    <w:p w:rsidR="00725A88" w:rsidRDefault="00BE7ED1" w:rsidP="00725A88">
      <w:pPr>
        <w:pStyle w:val="ListBullet2"/>
      </w:pPr>
      <w:r>
        <w:t>D</w:t>
      </w:r>
      <w:r w:rsidRPr="00A2772C">
        <w:t>eveloping a single point of contact programme of support for innovation-led star</w:t>
      </w:r>
      <w:r>
        <w:t>t-up or ea</w:t>
      </w:r>
      <w:r>
        <w:t>rly-stage businesses;</w:t>
      </w:r>
    </w:p>
    <w:p w:rsidR="00725A88" w:rsidRDefault="00BE7ED1" w:rsidP="00725A88">
      <w:pPr>
        <w:pStyle w:val="ListBullet2"/>
      </w:pPr>
      <w:r>
        <w:t>E</w:t>
      </w:r>
      <w:r w:rsidRPr="00A2772C">
        <w:t>xplor</w:t>
      </w:r>
      <w:r w:rsidRPr="00A2772C">
        <w:t>ing</w:t>
      </w:r>
      <w:r w:rsidRPr="00A2772C">
        <w:t xml:space="preserve"> options for creating a Lancashire Innovation Fund for early-stage funding for innovation-led start-ups</w:t>
      </w:r>
      <w:r>
        <w:t>;</w:t>
      </w:r>
    </w:p>
    <w:p w:rsidR="00725A88" w:rsidRDefault="00BE7ED1" w:rsidP="00725A88">
      <w:pPr>
        <w:pStyle w:val="ListBullet2"/>
      </w:pPr>
      <w:r>
        <w:t>D</w:t>
      </w:r>
      <w:r w:rsidRPr="00A2772C">
        <w:t>eveloping a p</w:t>
      </w:r>
      <w:r w:rsidRPr="00A2772C">
        <w:t>rogramme to promote innovation across public and third sectors</w:t>
      </w:r>
      <w:r>
        <w:t>; and</w:t>
      </w:r>
    </w:p>
    <w:p w:rsidR="00595AC2" w:rsidRDefault="00BE7ED1" w:rsidP="00725A88">
      <w:pPr>
        <w:pStyle w:val="ListBullet2"/>
      </w:pPr>
      <w:r>
        <w:t>E</w:t>
      </w:r>
      <w:r w:rsidRPr="00A2772C">
        <w:t xml:space="preserve">mbedding </w:t>
      </w:r>
      <w:r w:rsidRPr="00A2772C">
        <w:t xml:space="preserve">Intellectual Property (IP) </w:t>
      </w:r>
      <w:r>
        <w:t xml:space="preserve">management </w:t>
      </w:r>
      <w:r w:rsidRPr="00A2772C">
        <w:t>in</w:t>
      </w:r>
      <w:r>
        <w:t xml:space="preserve"> to </w:t>
      </w:r>
      <w:r w:rsidRPr="00A2772C">
        <w:t>innovation initiatives</w:t>
      </w:r>
      <w:r w:rsidRPr="00A2772C">
        <w:t>.</w:t>
      </w:r>
    </w:p>
    <w:p w:rsidR="00725A88" w:rsidRPr="00A2772C" w:rsidRDefault="00BE7ED1" w:rsidP="00725A88">
      <w:pPr>
        <w:pStyle w:val="ListBullet2"/>
        <w:numPr>
          <w:ilvl w:val="0"/>
          <w:numId w:val="0"/>
        </w:numPr>
        <w:ind w:left="794"/>
      </w:pPr>
    </w:p>
    <w:p w:rsidR="00725A88" w:rsidRDefault="00BE7ED1" w:rsidP="00725A88">
      <w:pPr>
        <w:pStyle w:val="ListBullet"/>
      </w:pPr>
      <w:r w:rsidRPr="00A2772C">
        <w:t>To deliver Strategic Aim</w:t>
      </w:r>
      <w:r w:rsidRPr="00A2772C">
        <w:t xml:space="preserve"> </w:t>
      </w:r>
      <w:r w:rsidRPr="00A2772C">
        <w:t xml:space="preserve">5 ‘Letting the World Know!’, </w:t>
      </w:r>
      <w:r>
        <w:t xml:space="preserve">key actions </w:t>
      </w:r>
      <w:r>
        <w:t xml:space="preserve">will </w:t>
      </w:r>
      <w:r>
        <w:t>involve:</w:t>
      </w:r>
    </w:p>
    <w:p w:rsidR="00725A88" w:rsidRDefault="00BE7ED1" w:rsidP="00725A88">
      <w:pPr>
        <w:pStyle w:val="ListBullet2"/>
      </w:pPr>
      <w:r>
        <w:t>H</w:t>
      </w:r>
      <w:r w:rsidRPr="00A2772C">
        <w:t xml:space="preserve">olding an annual Innovation Showcase to </w:t>
      </w:r>
      <w:r>
        <w:t>celebrate successful innovation</w:t>
      </w:r>
      <w:r>
        <w:t xml:space="preserve"> in, and across, the County</w:t>
      </w:r>
      <w:r>
        <w:t>;</w:t>
      </w:r>
    </w:p>
    <w:p w:rsidR="00725A88" w:rsidRDefault="00BE7ED1" w:rsidP="00725A88">
      <w:pPr>
        <w:pStyle w:val="ListBullet2"/>
      </w:pPr>
      <w:r>
        <w:lastRenderedPageBreak/>
        <w:t>D</w:t>
      </w:r>
      <w:r w:rsidRPr="00A2772C">
        <w:t>eveloping a Lancashire</w:t>
      </w:r>
      <w:r>
        <w:t xml:space="preserve"> Innovatio</w:t>
      </w:r>
      <w:r>
        <w:t xml:space="preserve">n </w:t>
      </w:r>
      <w:r>
        <w:t>Marketing Strategy</w:t>
      </w:r>
      <w:r>
        <w:t>;</w:t>
      </w:r>
    </w:p>
    <w:p w:rsidR="00725A88" w:rsidRDefault="00BE7ED1" w:rsidP="00725A88">
      <w:pPr>
        <w:pStyle w:val="ListBullet2"/>
      </w:pPr>
      <w:r>
        <w:t>D</w:t>
      </w:r>
      <w:r w:rsidRPr="00A2772C">
        <w:t>eveloping,</w:t>
      </w:r>
      <w:r w:rsidRPr="00A2772C">
        <w:t xml:space="preserve"> and disseminating a portfolio of Lancashire innov</w:t>
      </w:r>
      <w:r>
        <w:t xml:space="preserve">ation case studies; </w:t>
      </w:r>
      <w:r w:rsidRPr="00A2772C">
        <w:t xml:space="preserve">and </w:t>
      </w:r>
    </w:p>
    <w:p w:rsidR="00DD1AAF" w:rsidRPr="00A2772C" w:rsidRDefault="00BE7ED1" w:rsidP="00725A88">
      <w:pPr>
        <w:pStyle w:val="ListBullet2"/>
      </w:pPr>
      <w:r>
        <w:t>Ensuring Lancashire is represented in all key national fora relating to innovation, so that forward and backward linkages to innovation in our Count</w:t>
      </w:r>
      <w:r>
        <w:t>y are be promoted and developed</w:t>
      </w:r>
      <w:r w:rsidRPr="00A2772C">
        <w:t>.</w:t>
      </w:r>
    </w:p>
    <w:p w:rsidR="005A7858" w:rsidRPr="00A2772C" w:rsidRDefault="00BE7ED1" w:rsidP="005A7858">
      <w:pPr>
        <w:pStyle w:val="Heading2"/>
      </w:pPr>
      <w:bookmarkStart w:id="41" w:name="_Toc504490213"/>
      <w:bookmarkStart w:id="42" w:name="_Toc504555227"/>
      <w:bookmarkStart w:id="43" w:name="_Toc504563062"/>
      <w:bookmarkStart w:id="44" w:name="_Toc505073261"/>
      <w:bookmarkStart w:id="45" w:name="_Toc505073756"/>
      <w:bookmarkStart w:id="46" w:name="_Toc508803071"/>
      <w:r w:rsidRPr="00A2772C">
        <w:t>Governance</w:t>
      </w:r>
      <w:bookmarkEnd w:id="41"/>
      <w:bookmarkEnd w:id="42"/>
      <w:bookmarkEnd w:id="43"/>
      <w:bookmarkEnd w:id="44"/>
      <w:bookmarkEnd w:id="45"/>
      <w:bookmarkEnd w:id="46"/>
    </w:p>
    <w:p w:rsidR="00CD6F6A" w:rsidRPr="00A2772C" w:rsidRDefault="00BE7ED1" w:rsidP="0074708B">
      <w:pPr>
        <w:pStyle w:val="SDGEDExecSummBody"/>
      </w:pPr>
      <w:r w:rsidRPr="00A2772C">
        <w:t xml:space="preserve">Strong leadership, collaboration, and willingness to deliver change are fundamental to making this Plan a reality. Leaders from across </w:t>
      </w:r>
      <w:r>
        <w:t>private and public</w:t>
      </w:r>
      <w:r w:rsidRPr="00A2772C">
        <w:t xml:space="preserve"> sectors will need to come together to </w:t>
      </w:r>
      <w:r>
        <w:t xml:space="preserve">drive and </w:t>
      </w:r>
      <w:r w:rsidRPr="00A2772C">
        <w:t>deliver in</w:t>
      </w:r>
      <w:r w:rsidRPr="00A2772C">
        <w:t xml:space="preserve">novation for Lancashire. This will </w:t>
      </w:r>
      <w:r w:rsidRPr="00A2772C">
        <w:t>need</w:t>
      </w:r>
      <w:r w:rsidRPr="00A2772C">
        <w:t xml:space="preserve"> a well governed and </w:t>
      </w:r>
      <w:r>
        <w:t xml:space="preserve">appropriately </w:t>
      </w:r>
      <w:r w:rsidRPr="00A2772C">
        <w:t xml:space="preserve">resourced approach to </w:t>
      </w:r>
      <w:r>
        <w:t>the invitation of this Plan</w:t>
      </w:r>
      <w:r w:rsidRPr="00A2772C">
        <w:t>. Making the most of existing resources and re-calibrating these to support the Aims of this Plan will be vital to its success.</w:t>
      </w:r>
    </w:p>
    <w:p w:rsidR="005A7858" w:rsidRDefault="00BE7ED1" w:rsidP="0074708B">
      <w:pPr>
        <w:pStyle w:val="SDGEDExecSummBody"/>
      </w:pPr>
      <w:r>
        <w:t>The L</w:t>
      </w:r>
      <w:r>
        <w:t xml:space="preserve">EP has a </w:t>
      </w:r>
      <w:r>
        <w:t xml:space="preserve">central </w:t>
      </w:r>
      <w:r>
        <w:t>role to play in driving this Plan and its success</w:t>
      </w:r>
      <w:r>
        <w:t xml:space="preserve">. </w:t>
      </w:r>
      <w:r>
        <w:t>Accordingly</w:t>
      </w:r>
      <w:r>
        <w:t>, t</w:t>
      </w:r>
      <w:r w:rsidRPr="00A2772C">
        <w:t>h</w:t>
      </w:r>
      <w:r>
        <w:t xml:space="preserve">e </w:t>
      </w:r>
      <w:r w:rsidRPr="00A2772C">
        <w:t xml:space="preserve">Plan proposes </w:t>
      </w:r>
      <w:r w:rsidRPr="0074708B">
        <w:rPr>
          <w:noProof/>
        </w:rPr>
        <w:t>a</w:t>
      </w:r>
      <w:r w:rsidRPr="0074708B">
        <w:rPr>
          <w:noProof/>
        </w:rPr>
        <w:t xml:space="preserve"> </w:t>
      </w:r>
      <w:r>
        <w:rPr>
          <w:noProof/>
        </w:rPr>
        <w:t xml:space="preserve">new </w:t>
      </w:r>
      <w:r w:rsidRPr="00A2772C">
        <w:t xml:space="preserve">Innovation Board </w:t>
      </w:r>
      <w:r>
        <w:t xml:space="preserve">within the LEP’s structure </w:t>
      </w:r>
      <w:r w:rsidRPr="00A2772C">
        <w:t xml:space="preserve">to provide the strategic leadership </w:t>
      </w:r>
      <w:r>
        <w:t xml:space="preserve">and </w:t>
      </w:r>
      <w:r>
        <w:t>accoun</w:t>
      </w:r>
      <w:r>
        <w:t xml:space="preserve">tability </w:t>
      </w:r>
      <w:r>
        <w:t xml:space="preserve">for </w:t>
      </w:r>
      <w:r>
        <w:t>this</w:t>
      </w:r>
      <w:r>
        <w:t xml:space="preserve"> Plan and its delivery</w:t>
      </w:r>
      <w:r w:rsidRPr="00A2772C">
        <w:t xml:space="preserve">. The Board will be </w:t>
      </w:r>
      <w:r w:rsidRPr="00A2772C">
        <w:t>private sector-led, but be representative</w:t>
      </w:r>
      <w:r>
        <w:t xml:space="preserve"> </w:t>
      </w:r>
      <w:r w:rsidRPr="00A2772C">
        <w:t>of public</w:t>
      </w:r>
      <w:r>
        <w:t xml:space="preserve">ly-funded </w:t>
      </w:r>
      <w:r w:rsidRPr="00A2772C">
        <w:t>partners and representative</w:t>
      </w:r>
      <w:r>
        <w:t>s</w:t>
      </w:r>
      <w:r w:rsidRPr="00A2772C">
        <w:t xml:space="preserve"> of the key innovation </w:t>
      </w:r>
      <w:r>
        <w:t>assets</w:t>
      </w:r>
      <w:r>
        <w:t xml:space="preserve"> </w:t>
      </w:r>
      <w:r w:rsidRPr="00A2772C">
        <w:t xml:space="preserve">in Lancashire. The Board will sit </w:t>
      </w:r>
      <w:r>
        <w:t>below,</w:t>
      </w:r>
      <w:r w:rsidRPr="00A2772C">
        <w:t xml:space="preserve"> and report to</w:t>
      </w:r>
      <w:r>
        <w:t>,</w:t>
      </w:r>
      <w:r w:rsidRPr="00A2772C">
        <w:t xml:space="preserve"> the LEP </w:t>
      </w:r>
      <w:r>
        <w:t xml:space="preserve">Main </w:t>
      </w:r>
      <w:r w:rsidRPr="00A2772C">
        <w:t xml:space="preserve">Board. </w:t>
      </w:r>
      <w:r>
        <w:t xml:space="preserve">Reporting to the Innovation Board, a new </w:t>
      </w:r>
      <w:r w:rsidRPr="00A2772C">
        <w:t xml:space="preserve">Innovation Director </w:t>
      </w:r>
      <w:r w:rsidRPr="00A2772C">
        <w:t xml:space="preserve">will be appointed to </w:t>
      </w:r>
      <w:r w:rsidRPr="00C366CC">
        <w:rPr>
          <w:noProof/>
        </w:rPr>
        <w:t>coordinate</w:t>
      </w:r>
      <w:r w:rsidRPr="00A2772C">
        <w:t xml:space="preserve"> and lead the operational delivery of th</w:t>
      </w:r>
      <w:r>
        <w:t xml:space="preserve">is </w:t>
      </w:r>
      <w:r w:rsidRPr="00A2772C">
        <w:t>Plan</w:t>
      </w:r>
      <w:r>
        <w:t>, drawing in relevant delivery partners to progress actions.</w:t>
      </w:r>
      <w:r w:rsidRPr="00A2772C">
        <w:t xml:space="preserve"> The Innovation Board will integrate and complement existing </w:t>
      </w:r>
      <w:r>
        <w:t>i</w:t>
      </w:r>
      <w:r w:rsidRPr="00A2772C">
        <w:t>nnovation</w:t>
      </w:r>
      <w:r>
        <w:t xml:space="preserve"> fora, such as the emerging </w:t>
      </w:r>
      <w:r>
        <w:t>Higher Education In</w:t>
      </w:r>
      <w:r>
        <w:t>stitution (</w:t>
      </w:r>
      <w:r>
        <w:t>HEI</w:t>
      </w:r>
      <w:r>
        <w:t>)</w:t>
      </w:r>
      <w:r>
        <w:t xml:space="preserve"> Innovation forum</w:t>
      </w:r>
      <w:r>
        <w:t xml:space="preserve"> (</w:t>
      </w:r>
      <w:r>
        <w:t xml:space="preserve">which brings together HEI </w:t>
      </w:r>
      <w:r>
        <w:t>representatives</w:t>
      </w:r>
      <w:r>
        <w:t xml:space="preserve"> on common </w:t>
      </w:r>
      <w:r>
        <w:t>i</w:t>
      </w:r>
      <w:r>
        <w:t>nnovation-facing issues</w:t>
      </w:r>
      <w:r>
        <w:t xml:space="preserve">), so driving </w:t>
      </w:r>
      <w:r w:rsidRPr="00C366CC">
        <w:rPr>
          <w:noProof/>
        </w:rPr>
        <w:t>a unified</w:t>
      </w:r>
      <w:r>
        <w:t xml:space="preserve"> approach to innovation in the County.</w:t>
      </w:r>
    </w:p>
    <w:p w:rsidR="00637D0C" w:rsidRDefault="00BE7ED1" w:rsidP="0074708B">
      <w:pPr>
        <w:pStyle w:val="Heading2"/>
      </w:pPr>
      <w:bookmarkStart w:id="47" w:name="_Toc508803072"/>
      <w:r>
        <w:t>Timeline</w:t>
      </w:r>
      <w:bookmarkEnd w:id="47"/>
    </w:p>
    <w:p w:rsidR="00637D0C" w:rsidRPr="004B70F5" w:rsidRDefault="00BE7ED1" w:rsidP="0074708B">
      <w:pPr>
        <w:pStyle w:val="SDGEDExecSummBody"/>
      </w:pPr>
      <w:r>
        <w:t>This plan is intended to provide the strategic agenda for innovation in the</w:t>
      </w:r>
      <w:r>
        <w:t xml:space="preserve"> County through to 2030</w:t>
      </w:r>
      <w:r>
        <w:t xml:space="preserve">. </w:t>
      </w:r>
      <w:r>
        <w:t xml:space="preserve">Between now and then, much can change, both in terms of technologies and markets. This Plan needs to be able to flex effectively to the changes, but at the same time it needs to </w:t>
      </w:r>
      <w:r>
        <w:t>give</w:t>
      </w:r>
      <w:r>
        <w:t xml:space="preserve"> a level of certainty and stability such that inn</w:t>
      </w:r>
      <w:r>
        <w:t xml:space="preserve">ovation increasingly becomes a constant in the way that the County, its businesses, </w:t>
      </w:r>
      <w:r>
        <w:t>communities,</w:t>
      </w:r>
      <w:r>
        <w:t xml:space="preserve"> and individuals behave</w:t>
      </w:r>
      <w:r>
        <w:t xml:space="preserve">. </w:t>
      </w:r>
      <w:r>
        <w:t>In a very real sense, the underpinning intent of this Plan is that innovation becomes the County’s ‘first nature’.</w:t>
      </w:r>
    </w:p>
    <w:p w:rsidR="00375893" w:rsidRDefault="00BE7ED1" w:rsidP="00A66B82">
      <w:pPr>
        <w:pStyle w:val="Heading1"/>
        <w:framePr w:wrap="notBeside"/>
        <w:numPr>
          <w:ilvl w:val="0"/>
          <w:numId w:val="15"/>
        </w:numPr>
      </w:pPr>
      <w:bookmarkStart w:id="48" w:name="_Toc508803073"/>
      <w:r>
        <w:lastRenderedPageBreak/>
        <w:t>Forew</w:t>
      </w:r>
      <w:r>
        <w:t>o</w:t>
      </w:r>
      <w:r>
        <w:t>rd</w:t>
      </w:r>
      <w:bookmarkEnd w:id="48"/>
    </w:p>
    <w:p w:rsidR="00375893" w:rsidRPr="00A13972" w:rsidRDefault="00BE7ED1" w:rsidP="00725A88">
      <w:pPr>
        <w:pStyle w:val="Heading2"/>
      </w:pPr>
      <w:r>
        <w:t xml:space="preserve"> </w:t>
      </w:r>
      <w:bookmarkStart w:id="49" w:name="_Toc504563064"/>
      <w:bookmarkStart w:id="50" w:name="_Toc505073263"/>
      <w:bookmarkStart w:id="51" w:name="_Toc508803074"/>
      <w:r>
        <w:t xml:space="preserve">[NB – </w:t>
      </w:r>
      <w:r>
        <w:t>PLACEHOLDER FOR FOREWORD FROM EDWIN BOOTH]</w:t>
      </w:r>
      <w:bookmarkEnd w:id="49"/>
      <w:bookmarkEnd w:id="50"/>
      <w:bookmarkEnd w:id="51"/>
    </w:p>
    <w:p w:rsidR="00F93166" w:rsidRPr="00A2772C" w:rsidRDefault="00BE7ED1" w:rsidP="0074708B">
      <w:pPr>
        <w:pStyle w:val="Heading1"/>
        <w:framePr w:wrap="notBeside"/>
        <w:numPr>
          <w:ilvl w:val="0"/>
          <w:numId w:val="15"/>
        </w:numPr>
        <w:ind w:left="810" w:hanging="810"/>
      </w:pPr>
      <w:bookmarkStart w:id="52" w:name="_Toc508803075"/>
      <w:r w:rsidRPr="004B70F5">
        <w:lastRenderedPageBreak/>
        <w:t>Why</w:t>
      </w:r>
      <w:r>
        <w:t xml:space="preserve"> an Innovation Plan for Lancashire?</w:t>
      </w:r>
      <w:bookmarkEnd w:id="52"/>
      <w:r>
        <w:t xml:space="preserve"> </w:t>
      </w:r>
    </w:p>
    <w:p w:rsidR="00AC3782" w:rsidRPr="00A2772C" w:rsidRDefault="00BE7ED1" w:rsidP="00AC3782">
      <w:pPr>
        <w:pStyle w:val="Heading2"/>
      </w:pPr>
      <w:bookmarkStart w:id="53" w:name="_Toc502674257"/>
      <w:bookmarkStart w:id="54" w:name="_Toc502734600"/>
      <w:bookmarkStart w:id="55" w:name="_Toc502744313"/>
      <w:bookmarkStart w:id="56" w:name="_Toc504469774"/>
      <w:bookmarkStart w:id="57" w:name="_Toc504490215"/>
      <w:bookmarkStart w:id="58" w:name="_Toc504563066"/>
      <w:bookmarkStart w:id="59" w:name="_Toc505073265"/>
      <w:bookmarkStart w:id="60" w:name="_Toc505073760"/>
      <w:bookmarkStart w:id="61" w:name="_Toc508803076"/>
      <w:r w:rsidRPr="00A2772C">
        <w:t>Introduction</w:t>
      </w:r>
      <w:bookmarkEnd w:id="53"/>
      <w:bookmarkEnd w:id="54"/>
      <w:bookmarkEnd w:id="55"/>
      <w:bookmarkEnd w:id="56"/>
      <w:bookmarkEnd w:id="57"/>
      <w:bookmarkEnd w:id="58"/>
      <w:bookmarkEnd w:id="59"/>
      <w:bookmarkEnd w:id="60"/>
      <w:bookmarkEnd w:id="61"/>
    </w:p>
    <w:p w:rsidR="00C6681C" w:rsidRPr="00A2772C" w:rsidRDefault="00BE7ED1" w:rsidP="00003AE3">
      <w:pPr>
        <w:pStyle w:val="NormalNumbered"/>
      </w:pPr>
      <w:r w:rsidRPr="00A2772C">
        <w:t xml:space="preserve">Innovation </w:t>
      </w:r>
      <w:r w:rsidRPr="00A2772C">
        <w:t xml:space="preserve">is at the heart of the UK’s Industrial Strategy, </w:t>
      </w:r>
      <w:r>
        <w:t xml:space="preserve">and identified therein as a </w:t>
      </w:r>
      <w:r w:rsidRPr="00A2772C">
        <w:t>key driver to improving productivity across the UK. Business</w:t>
      </w:r>
      <w:r w:rsidRPr="00A2772C">
        <w:t>es</w:t>
      </w:r>
      <w:r w:rsidRPr="00A2772C">
        <w:t xml:space="preserve"> that innovate grow faster than those that do not</w:t>
      </w:r>
      <w:r>
        <w:t xml:space="preserve">, and </w:t>
      </w:r>
      <w:r>
        <w:t>tend</w:t>
      </w:r>
      <w:r>
        <w:t xml:space="preserve"> to be more resilient to </w:t>
      </w:r>
      <w:r>
        <w:t>competition</w:t>
      </w:r>
      <w:r w:rsidRPr="00A2772C">
        <w:t>. Th</w:t>
      </w:r>
      <w:r w:rsidRPr="00A2772C">
        <w:t>e desire</w:t>
      </w:r>
      <w:r w:rsidRPr="00A2772C">
        <w:t xml:space="preserve"> for</w:t>
      </w:r>
      <w:r w:rsidRPr="00A2772C">
        <w:t xml:space="preserve"> innovation to drive productivity is increasingly </w:t>
      </w:r>
      <w:r w:rsidRPr="00A2772C">
        <w:t>prevalent</w:t>
      </w:r>
      <w:r w:rsidRPr="00A2772C">
        <w:t xml:space="preserve"> across the North and within Lancashire. As the </w:t>
      </w:r>
      <w:r>
        <w:t xml:space="preserve">Northern Powerhouse </w:t>
      </w:r>
      <w:r w:rsidRPr="00A2772C">
        <w:t>Independent Econom</w:t>
      </w:r>
      <w:r w:rsidRPr="00A2772C">
        <w:t>ic Review</w:t>
      </w:r>
      <w:r w:rsidRPr="00A2772C">
        <w:t xml:space="preserve"> showed</w:t>
      </w:r>
      <w:r w:rsidRPr="00A2772C">
        <w:t>, the North has significant innovation assets on which to build and develop</w:t>
      </w:r>
      <w:r>
        <w:t>, which in turn could</w:t>
      </w:r>
      <w:r w:rsidRPr="00A2772C">
        <w:t xml:space="preserve"> close the productivity gap with the rest of the UK. As this Plan will show, Lancashire </w:t>
      </w:r>
      <w:r>
        <w:t xml:space="preserve">also </w:t>
      </w:r>
      <w:r w:rsidRPr="00A2772C">
        <w:t>has substantial innovation assets, and potential, t</w:t>
      </w:r>
      <w:r w:rsidRPr="00A2772C">
        <w:t>o play a leading role in driving innovation and improving productivity in the North.</w:t>
      </w:r>
    </w:p>
    <w:p w:rsidR="00AC3782" w:rsidRPr="00A2772C" w:rsidRDefault="00BE7ED1" w:rsidP="00AC3782">
      <w:pPr>
        <w:pStyle w:val="NormalNumbered"/>
      </w:pPr>
      <w:r w:rsidRPr="00A2772C">
        <w:t xml:space="preserve">This is an evidence-informed innovation plan for Lancashire, </w:t>
      </w:r>
      <w:r w:rsidRPr="00A2772C">
        <w:t>commissioned by Lancashire Enterprise Partnership</w:t>
      </w:r>
      <w:r>
        <w:t xml:space="preserve"> (LEP)</w:t>
      </w:r>
      <w:r w:rsidRPr="00A2772C">
        <w:t xml:space="preserve">, and intended to </w:t>
      </w:r>
      <w:r w:rsidRPr="00A2772C">
        <w:t xml:space="preserve">establish a vision, </w:t>
      </w:r>
      <w:r w:rsidRPr="00A2772C">
        <w:t>framework,</w:t>
      </w:r>
      <w:r w:rsidRPr="00A2772C">
        <w:t xml:space="preserve"> and ac</w:t>
      </w:r>
      <w:r w:rsidRPr="00A2772C">
        <w:t xml:space="preserve">tion </w:t>
      </w:r>
      <w:r w:rsidRPr="00A2772C">
        <w:t>plan for innovation in the C</w:t>
      </w:r>
      <w:r w:rsidRPr="00A2772C">
        <w:t>ounty to 2030. It aims to:</w:t>
      </w:r>
    </w:p>
    <w:p w:rsidR="00AC3782" w:rsidRPr="00A2772C" w:rsidRDefault="00BE7ED1" w:rsidP="00AC3782">
      <w:pPr>
        <w:pStyle w:val="ListBullet"/>
      </w:pPr>
      <w:r w:rsidRPr="00A2772C">
        <w:t>Boost Lancashire’s innovative capacity and strengthen its broader innovation ecosystem;</w:t>
      </w:r>
    </w:p>
    <w:p w:rsidR="00AC3782" w:rsidRPr="00A2772C" w:rsidRDefault="00BE7ED1" w:rsidP="00AC3782">
      <w:pPr>
        <w:pStyle w:val="ListBullet"/>
      </w:pPr>
      <w:r w:rsidRPr="00A2772C">
        <w:t>Stimulate new ideas and thinking around embed</w:t>
      </w:r>
      <w:r w:rsidRPr="00A2772C">
        <w:t>ding a</w:t>
      </w:r>
      <w:r w:rsidRPr="00A2772C">
        <w:t xml:space="preserve"> more innovative culture in Lancashire;</w:t>
      </w:r>
    </w:p>
    <w:p w:rsidR="00AC3782" w:rsidRPr="00A2772C" w:rsidRDefault="00BE7ED1" w:rsidP="00AC3782">
      <w:pPr>
        <w:pStyle w:val="ListBullet"/>
      </w:pPr>
      <w:r w:rsidRPr="00A2772C">
        <w:t>Set a clear direc</w:t>
      </w:r>
      <w:r w:rsidRPr="00A2772C">
        <w:t>tion of travel for Lancashire’s innovation agenda, underpinned by a coherent package of priorities and activities;</w:t>
      </w:r>
    </w:p>
    <w:p w:rsidR="00AC3782" w:rsidRPr="00A2772C" w:rsidRDefault="00BE7ED1" w:rsidP="00AC3782">
      <w:pPr>
        <w:pStyle w:val="ListBullet"/>
      </w:pPr>
      <w:r w:rsidRPr="00A2772C">
        <w:t>Encourage greater collaboration within Lancashire</w:t>
      </w:r>
      <w:r>
        <w:t>,</w:t>
      </w:r>
      <w:r w:rsidRPr="00A2772C">
        <w:t xml:space="preserve"> and between Lancashire and national and international partner</w:t>
      </w:r>
      <w:r w:rsidRPr="00A2772C">
        <w:t>s</w:t>
      </w:r>
      <w:r w:rsidRPr="00A2772C">
        <w:t>;</w:t>
      </w:r>
    </w:p>
    <w:p w:rsidR="00AC3782" w:rsidRPr="00A2772C" w:rsidRDefault="00BE7ED1" w:rsidP="00AC3782">
      <w:pPr>
        <w:pStyle w:val="ListBullet"/>
      </w:pPr>
      <w:r w:rsidRPr="00A2772C">
        <w:t>Engage all stakeholders in</w:t>
      </w:r>
      <w:r w:rsidRPr="00A2772C">
        <w:t xml:space="preserve">cluding businesses large and small, universities, colleges, local and national government; </w:t>
      </w:r>
      <w:r w:rsidRPr="00A2772C">
        <w:t>and</w:t>
      </w:r>
    </w:p>
    <w:p w:rsidR="00AC3782" w:rsidRPr="00A2772C" w:rsidRDefault="00BE7ED1" w:rsidP="00AC3782">
      <w:pPr>
        <w:pStyle w:val="ListBullet"/>
      </w:pPr>
      <w:r w:rsidRPr="00A2772C">
        <w:t xml:space="preserve">Establish a new model for </w:t>
      </w:r>
      <w:r w:rsidRPr="00A2772C">
        <w:t xml:space="preserve">the </w:t>
      </w:r>
      <w:r w:rsidRPr="00A2772C">
        <w:t>leadership and governance of Lancashire’s innovation agenda.</w:t>
      </w:r>
    </w:p>
    <w:p w:rsidR="000703B6" w:rsidRDefault="00BE7ED1" w:rsidP="0074708B">
      <w:pPr>
        <w:pStyle w:val="Heading2"/>
      </w:pPr>
      <w:bookmarkStart w:id="62" w:name="_Toc508803077"/>
      <w:r>
        <w:t>Talking Terms . . .</w:t>
      </w:r>
      <w:bookmarkEnd w:id="62"/>
    </w:p>
    <w:p w:rsidR="00EB1262" w:rsidRDefault="00BE7ED1" w:rsidP="00290EAF">
      <w:pPr>
        <w:pStyle w:val="NormalNumbered"/>
      </w:pPr>
      <w:r w:rsidRPr="00A2772C">
        <w:t xml:space="preserve">Informed by Nesta, </w:t>
      </w:r>
      <w:r>
        <w:t xml:space="preserve">the definition of innovation adopted by this Plan is that </w:t>
      </w:r>
      <w:r w:rsidRPr="00A2772C">
        <w:t xml:space="preserve">innovation </w:t>
      </w:r>
      <w:r>
        <w:t>is:</w:t>
      </w:r>
    </w:p>
    <w:p w:rsidR="00EB1262" w:rsidRDefault="00BE7ED1" w:rsidP="0074708B">
      <w:pPr>
        <w:pStyle w:val="ListBullet"/>
      </w:pPr>
      <w:r>
        <w:t>T</w:t>
      </w:r>
      <w:r w:rsidRPr="00A2772C">
        <w:t>he successful exploitation of new ideas, recognising that innovation need not derive from an advance in science or technology, but radical innovation often does</w:t>
      </w:r>
      <w:r>
        <w:t>;</w:t>
      </w:r>
    </w:p>
    <w:p w:rsidR="00EB1262" w:rsidRDefault="00BE7ED1" w:rsidP="0074708B">
      <w:pPr>
        <w:pStyle w:val="ListBullet"/>
      </w:pPr>
      <w:r w:rsidRPr="00A2772C">
        <w:t>Innovation that does</w:t>
      </w:r>
      <w:r w:rsidRPr="00A2772C">
        <w:t xml:space="preserve"> derive from advance in the Science and Technology base needs more than this to achieve commercial </w:t>
      </w:r>
      <w:r w:rsidRPr="0074708B">
        <w:rPr>
          <w:noProof/>
        </w:rPr>
        <w:t>success</w:t>
      </w:r>
      <w:r>
        <w:rPr>
          <w:noProof/>
        </w:rPr>
        <w:t>;</w:t>
      </w:r>
    </w:p>
    <w:p w:rsidR="00EB1262" w:rsidRDefault="00BE7ED1" w:rsidP="0074708B">
      <w:pPr>
        <w:pStyle w:val="ListBullet"/>
      </w:pPr>
      <w:r>
        <w:rPr>
          <w:noProof/>
        </w:rPr>
        <w:t>Innovation applies</w:t>
      </w:r>
      <w:r w:rsidRPr="00A2772C">
        <w:t xml:space="preserve"> equally to products, processes, services, and business models</w:t>
      </w:r>
      <w:r>
        <w:t xml:space="preserve">; and </w:t>
      </w:r>
    </w:p>
    <w:p w:rsidR="006E62ED" w:rsidRPr="00A2772C" w:rsidRDefault="00BE7ED1" w:rsidP="0074708B">
      <w:pPr>
        <w:pStyle w:val="ListBullet"/>
      </w:pPr>
      <w:r w:rsidRPr="00A2772C">
        <w:t>Innovation is not just the preserve of the private sector, it</w:t>
      </w:r>
      <w:r w:rsidRPr="00A2772C">
        <w:t xml:space="preserve"> is equally appropriate and necessary in the public and community</w:t>
      </w:r>
      <w:r>
        <w:t>/</w:t>
      </w:r>
      <w:r w:rsidRPr="00A2772C">
        <w:t>voluntary sectors.</w:t>
      </w:r>
    </w:p>
    <w:p w:rsidR="000703B6" w:rsidRDefault="00BE7ED1" w:rsidP="0074708B">
      <w:pPr>
        <w:pStyle w:val="Heading2"/>
      </w:pPr>
      <w:r>
        <w:lastRenderedPageBreak/>
        <w:t xml:space="preserve"> </w:t>
      </w:r>
      <w:bookmarkStart w:id="63" w:name="_Toc508803078"/>
      <w:r>
        <w:t>. . . Strengths to build on</w:t>
      </w:r>
      <w:bookmarkEnd w:id="63"/>
    </w:p>
    <w:p w:rsidR="000703B6" w:rsidRPr="00A2772C" w:rsidRDefault="00BE7ED1" w:rsidP="00026DEA">
      <w:pPr>
        <w:pStyle w:val="NormalNumbered"/>
      </w:pPr>
      <w:r>
        <w:t>Importantly, w</w:t>
      </w:r>
      <w:r w:rsidRPr="00A2772C">
        <w:t xml:space="preserve">e are not starting with a blank canvas. Lancashire has many </w:t>
      </w:r>
      <w:r>
        <w:t xml:space="preserve">innovation strengths </w:t>
      </w:r>
      <w:r w:rsidRPr="00A2772C">
        <w:t>and assets to build on</w:t>
      </w:r>
      <w:r>
        <w:t xml:space="preserve">. </w:t>
      </w:r>
      <w:r w:rsidRPr="00A2772C">
        <w:t>It is home to leading g</w:t>
      </w:r>
      <w:r w:rsidRPr="00A2772C">
        <w:t xml:space="preserve">lobal businesses at the cutting edge of </w:t>
      </w:r>
      <w:r>
        <w:t xml:space="preserve">advances </w:t>
      </w:r>
      <w:r w:rsidRPr="00A2772C">
        <w:t xml:space="preserve">in </w:t>
      </w:r>
      <w:r>
        <w:t>Advanced Manufact</w:t>
      </w:r>
      <w:r w:rsidRPr="00A2772C">
        <w:t>uring, supported by a supply chain cluster of high tech SMEs</w:t>
      </w:r>
      <w:r>
        <w:t xml:space="preserve">. </w:t>
      </w:r>
      <w:r w:rsidRPr="00A2772C">
        <w:t>These high value-add businesses are amongst the most productive in the country</w:t>
      </w:r>
      <w:r>
        <w:t xml:space="preserve">. </w:t>
      </w:r>
      <w:r w:rsidRPr="00A2772C">
        <w:t>Our strong manufacturing base is spearheaded</w:t>
      </w:r>
      <w:r w:rsidRPr="00A2772C">
        <w:t xml:space="preserve"> </w:t>
      </w:r>
      <w:r w:rsidRPr="00A2772C">
        <w:t>by</w:t>
      </w:r>
      <w:r w:rsidRPr="00A2772C">
        <w:t xml:space="preserve"> </w:t>
      </w:r>
      <w:r>
        <w:t>Aerospace</w:t>
      </w:r>
      <w:r w:rsidRPr="00A2772C">
        <w:t xml:space="preserve">, </w:t>
      </w:r>
      <w:r>
        <w:t>Automot</w:t>
      </w:r>
      <w:r w:rsidRPr="00A2772C">
        <w:t>ive</w:t>
      </w:r>
      <w:r>
        <w:t>,</w:t>
      </w:r>
      <w:r w:rsidRPr="00A2772C">
        <w:t xml:space="preserve"> </w:t>
      </w:r>
      <w:r w:rsidRPr="00A2772C">
        <w:t xml:space="preserve">and </w:t>
      </w:r>
      <w:r>
        <w:t>Energy</w:t>
      </w:r>
      <w:r w:rsidRPr="00A2772C">
        <w:t xml:space="preserve"> </w:t>
      </w:r>
      <w:r w:rsidRPr="00A2772C">
        <w:t xml:space="preserve">industries but we have other key sectoral strengths including </w:t>
      </w:r>
      <w:r>
        <w:t xml:space="preserve">Digital </w:t>
      </w:r>
      <w:r w:rsidRPr="00A2772C">
        <w:t xml:space="preserve">and </w:t>
      </w:r>
      <w:r>
        <w:t>Healthcare</w:t>
      </w:r>
      <w:r>
        <w:t xml:space="preserve">. </w:t>
      </w:r>
      <w:r w:rsidRPr="00A2772C">
        <w:t xml:space="preserve">We are also home to high performing </w:t>
      </w:r>
      <w:r w:rsidRPr="00A2772C">
        <w:t xml:space="preserve">Universities </w:t>
      </w:r>
      <w:r w:rsidRPr="00A2772C">
        <w:t>and F</w:t>
      </w:r>
      <w:r w:rsidRPr="00A2772C">
        <w:t xml:space="preserve">urther </w:t>
      </w:r>
      <w:r w:rsidRPr="00A2772C">
        <w:t>E</w:t>
      </w:r>
      <w:r w:rsidRPr="00A2772C">
        <w:t>ducation</w:t>
      </w:r>
      <w:r w:rsidRPr="00A2772C">
        <w:t xml:space="preserve"> providers, including national centres of research excellence</w:t>
      </w:r>
      <w:r>
        <w:t>.</w:t>
      </w:r>
    </w:p>
    <w:p w:rsidR="00AC3782" w:rsidRPr="00A2772C" w:rsidRDefault="00BE7ED1" w:rsidP="00026DEA">
      <w:pPr>
        <w:pStyle w:val="NormalNumbered"/>
      </w:pPr>
      <w:r>
        <w:t xml:space="preserve">More generally, we have good and developing innovation links with </w:t>
      </w:r>
      <w:r w:rsidRPr="00A2772C">
        <w:t>neighbouring cities</w:t>
      </w:r>
      <w:r>
        <w:t xml:space="preserve"> and their economic hinterlands</w:t>
      </w:r>
      <w:r w:rsidRPr="00A2772C">
        <w:t>, a high</w:t>
      </w:r>
      <w:r w:rsidRPr="00A2772C">
        <w:t xml:space="preserve"> quality of life</w:t>
      </w:r>
      <w:r>
        <w:t>,</w:t>
      </w:r>
      <w:r w:rsidRPr="00A2772C">
        <w:t xml:space="preserve"> and a diverse urban and rural environment</w:t>
      </w:r>
      <w:r>
        <w:t xml:space="preserve">. </w:t>
      </w:r>
      <w:r w:rsidRPr="00A2772C">
        <w:t>We must make the most of th</w:t>
      </w:r>
      <w:r>
        <w:t xml:space="preserve">ese wider </w:t>
      </w:r>
      <w:r>
        <w:t>assets</w:t>
      </w:r>
      <w:r>
        <w:t xml:space="preserve"> </w:t>
      </w:r>
      <w:r w:rsidRPr="00A2772C">
        <w:t xml:space="preserve">to attract and retain the </w:t>
      </w:r>
      <w:r w:rsidRPr="00A2772C">
        <w:t>people and businesses who will driv</w:t>
      </w:r>
      <w:r w:rsidRPr="00A2772C">
        <w:t xml:space="preserve">e </w:t>
      </w:r>
      <w:r>
        <w:t xml:space="preserve">our </w:t>
      </w:r>
      <w:r w:rsidRPr="00A2772C">
        <w:t>innovation agenda locally, drawing on access to resources and partners nationally.</w:t>
      </w:r>
    </w:p>
    <w:p w:rsidR="000703B6" w:rsidRDefault="00BE7ED1" w:rsidP="0074708B">
      <w:pPr>
        <w:pStyle w:val="Heading2"/>
      </w:pPr>
      <w:bookmarkStart w:id="64" w:name="_Toc508803079"/>
      <w:r>
        <w:t>. . . But challenges too</w:t>
      </w:r>
      <w:bookmarkEnd w:id="64"/>
    </w:p>
    <w:p w:rsidR="00AC3782" w:rsidRPr="00A2772C" w:rsidRDefault="00BE7ED1" w:rsidP="009F2B6E">
      <w:pPr>
        <w:pStyle w:val="NormalNumbered"/>
      </w:pPr>
      <w:r>
        <w:t>Notwithstanding the</w:t>
      </w:r>
      <w:r>
        <w:t>se high-points</w:t>
      </w:r>
      <w:r>
        <w:t xml:space="preserve">, </w:t>
      </w:r>
      <w:r w:rsidRPr="00A2772C">
        <w:t xml:space="preserve">we also face </w:t>
      </w:r>
      <w:r w:rsidRPr="00A2772C">
        <w:t xml:space="preserve">significant </w:t>
      </w:r>
      <w:r w:rsidRPr="00A2772C">
        <w:t>challenges</w:t>
      </w:r>
      <w:r>
        <w:t>.</w:t>
      </w:r>
      <w:r w:rsidRPr="00A2772C">
        <w:t xml:space="preserve"> Lancashire’s economy as a whole is </w:t>
      </w:r>
      <w:r w:rsidRPr="00A2772C">
        <w:t xml:space="preserve">underperforming compared with </w:t>
      </w:r>
      <w:r w:rsidRPr="00A2772C">
        <w:t>the national average</w:t>
      </w:r>
      <w:r w:rsidRPr="00A2772C">
        <w:t xml:space="preserve">, </w:t>
      </w:r>
      <w:r>
        <w:t xml:space="preserve">although </w:t>
      </w:r>
      <w:r w:rsidRPr="00A2772C">
        <w:t xml:space="preserve">this masks </w:t>
      </w:r>
      <w:r>
        <w:t xml:space="preserve">some </w:t>
      </w:r>
      <w:r w:rsidRPr="00A2772C">
        <w:t>areas of high productivity: GVA per head across Lancashire's local authorities ranges from £31,494, (amongst the top 50 districts in the UK and within the top 20 outside London an</w:t>
      </w:r>
      <w:r w:rsidRPr="00A2772C">
        <w:t>d the South East) to £14,524 (380</w:t>
      </w:r>
      <w:r w:rsidRPr="00A2772C">
        <w:rPr>
          <w:vertAlign w:val="superscript"/>
        </w:rPr>
        <w:t>th</w:t>
      </w:r>
      <w:r w:rsidRPr="00A2772C">
        <w:t xml:space="preserve"> of 395 areas)</w:t>
      </w:r>
      <w:r>
        <w:t>.</w:t>
      </w:r>
      <w:r w:rsidRPr="00A2772C">
        <w:t xml:space="preserve"> </w:t>
      </w:r>
      <w:r>
        <w:t xml:space="preserve"> </w:t>
      </w:r>
      <w:r w:rsidRPr="00A2772C">
        <w:t xml:space="preserve">We also face great uncertainty in wider national and global contexts - Brexit looms large and the pace of technological change is transforming </w:t>
      </w:r>
      <w:r w:rsidRPr="00A2772C">
        <w:t>where</w:t>
      </w:r>
      <w:r w:rsidRPr="00A2772C">
        <w:t>,</w:t>
      </w:r>
      <w:r w:rsidRPr="00A2772C">
        <w:t xml:space="preserve"> and how</w:t>
      </w:r>
      <w:r w:rsidRPr="00A2772C">
        <w:t>,</w:t>
      </w:r>
      <w:r w:rsidRPr="00A2772C">
        <w:t xml:space="preserve"> business is done</w:t>
      </w:r>
      <w:r>
        <w:t xml:space="preserve">. </w:t>
      </w:r>
      <w:r w:rsidRPr="00A2772C">
        <w:t>Of course, we are not uniqu</w:t>
      </w:r>
      <w:r w:rsidRPr="00A2772C">
        <w:t>e in facing these challenges but we must find our own</w:t>
      </w:r>
      <w:r w:rsidRPr="00A2772C">
        <w:t>, place- and people-specific</w:t>
      </w:r>
      <w:r w:rsidRPr="00A2772C">
        <w:t xml:space="preserve"> solutions for dealing with them</w:t>
      </w:r>
      <w:r>
        <w:t xml:space="preserve">. </w:t>
      </w:r>
    </w:p>
    <w:p w:rsidR="00AC3782" w:rsidRPr="00A2772C" w:rsidRDefault="00BE7ED1" w:rsidP="009F2B6E">
      <w:pPr>
        <w:pStyle w:val="NormalNumbered"/>
      </w:pPr>
      <w:r w:rsidRPr="00A2772C">
        <w:t>The recent national Industrial Strategy</w:t>
      </w:r>
      <w:r>
        <w:t>,</w:t>
      </w:r>
      <w:r w:rsidRPr="00A2772C">
        <w:t xml:space="preserve"> and its accompanying </w:t>
      </w:r>
      <w:r w:rsidRPr="00A2772C">
        <w:t>S</w:t>
      </w:r>
      <w:r w:rsidRPr="00A2772C">
        <w:t xml:space="preserve">ector </w:t>
      </w:r>
      <w:r w:rsidRPr="00A2772C">
        <w:t>D</w:t>
      </w:r>
      <w:r w:rsidRPr="00A2772C">
        <w:t xml:space="preserve">eals represent a new </w:t>
      </w:r>
      <w:r w:rsidRPr="00A2772C">
        <w:t xml:space="preserve">chapter in how we as a country </w:t>
      </w:r>
      <w:r w:rsidRPr="00A2772C">
        <w:t xml:space="preserve">take a more </w:t>
      </w:r>
      <w:r w:rsidRPr="00A2772C">
        <w:t>proactive a</w:t>
      </w:r>
      <w:r w:rsidRPr="00A2772C">
        <w:t xml:space="preserve">nd interventionist approach to </w:t>
      </w:r>
      <w:r w:rsidRPr="00A2772C">
        <w:t xml:space="preserve">growing our economy. This </w:t>
      </w:r>
      <w:r w:rsidRPr="00A2772C">
        <w:t>I</w:t>
      </w:r>
      <w:r w:rsidRPr="00A2772C">
        <w:t xml:space="preserve">nnovation </w:t>
      </w:r>
      <w:r w:rsidRPr="00A2772C">
        <w:t>P</w:t>
      </w:r>
      <w:r w:rsidRPr="00A2772C">
        <w:t>lan represents a central plank in Lancashire’s</w:t>
      </w:r>
      <w:r w:rsidRPr="00A2772C">
        <w:t xml:space="preserve"> response to this new national agenda, sitting as part of the County’s</w:t>
      </w:r>
      <w:r w:rsidRPr="00A2772C">
        <w:t xml:space="preserve"> overarching economic strategy</w:t>
      </w:r>
      <w:r>
        <w:t xml:space="preserve">, and it will without doubt be influential on our proposed </w:t>
      </w:r>
      <w:r w:rsidRPr="00A2772C">
        <w:t xml:space="preserve">new </w:t>
      </w:r>
      <w:r w:rsidRPr="00A2772C">
        <w:t>Local Industrial Strategy</w:t>
      </w:r>
      <w:r>
        <w:t xml:space="preserve">. </w:t>
      </w:r>
      <w:r>
        <w:t xml:space="preserve">The Plan </w:t>
      </w:r>
      <w:r w:rsidRPr="00A2772C">
        <w:t xml:space="preserve">is designed to help boost productivity, raise R&amp;D investment, grow local </w:t>
      </w:r>
      <w:r w:rsidRPr="00A2772C">
        <w:t>businesses,</w:t>
      </w:r>
      <w:r w:rsidRPr="00A2772C">
        <w:t xml:space="preserve"> and attract new firms, create new and better jobs</w:t>
      </w:r>
      <w:r>
        <w:t xml:space="preserve">. </w:t>
      </w:r>
      <w:r>
        <w:t xml:space="preserve">Ultimately, the Plan </w:t>
      </w:r>
      <w:r>
        <w:t xml:space="preserve">needs </w:t>
      </w:r>
      <w:r w:rsidRPr="00A2772C">
        <w:t xml:space="preserve">to embed an innovation culture which allows </w:t>
      </w:r>
      <w:r>
        <w:t xml:space="preserve">the County </w:t>
      </w:r>
      <w:r w:rsidRPr="00A2772C">
        <w:t xml:space="preserve">to </w:t>
      </w:r>
      <w:r>
        <w:t>‘</w:t>
      </w:r>
      <w:r w:rsidRPr="00A2772C">
        <w:t xml:space="preserve">punch above </w:t>
      </w:r>
      <w:r>
        <w:t xml:space="preserve">its </w:t>
      </w:r>
      <w:r w:rsidRPr="00A2772C">
        <w:t>weight</w:t>
      </w:r>
      <w:r>
        <w:t>’</w:t>
      </w:r>
      <w:r w:rsidRPr="00A2772C">
        <w:t>, enhance our resilience</w:t>
      </w:r>
      <w:r w:rsidRPr="00A2772C">
        <w:t>,</w:t>
      </w:r>
      <w:r w:rsidRPr="00A2772C">
        <w:t xml:space="preserve"> and enables us to capitalise on change and opportunities in the global economy</w:t>
      </w:r>
      <w:r>
        <w:t>.</w:t>
      </w:r>
    </w:p>
    <w:p w:rsidR="000703B6" w:rsidRDefault="00BE7ED1" w:rsidP="0074708B">
      <w:pPr>
        <w:pStyle w:val="Heading2"/>
      </w:pPr>
      <w:bookmarkStart w:id="65" w:name="_Toc508803080"/>
      <w:r>
        <w:t>An Appetite for Change</w:t>
      </w:r>
      <w:bookmarkEnd w:id="65"/>
    </w:p>
    <w:p w:rsidR="00AC3782" w:rsidRPr="00A2772C" w:rsidRDefault="00BE7ED1" w:rsidP="009F2B6E">
      <w:pPr>
        <w:pStyle w:val="NormalNumbered"/>
      </w:pPr>
      <w:r w:rsidRPr="00A2772C">
        <w:t>The context of the Industrial Strategy,</w:t>
      </w:r>
      <w:r w:rsidRPr="00A2772C">
        <w:t xml:space="preserve"> alongside the launch of this Innovation </w:t>
      </w:r>
      <w:r w:rsidRPr="0074708B">
        <w:rPr>
          <w:noProof/>
        </w:rPr>
        <w:t>Plan</w:t>
      </w:r>
      <w:r>
        <w:rPr>
          <w:noProof/>
        </w:rPr>
        <w:t>,</w:t>
      </w:r>
      <w:r w:rsidRPr="00A2772C">
        <w:t xml:space="preserve"> provides a momentum for driving forward the agenda which must not be lost</w:t>
      </w:r>
      <w:r>
        <w:t xml:space="preserve">. </w:t>
      </w:r>
      <w:r w:rsidRPr="00A2772C">
        <w:t xml:space="preserve">The engagement </w:t>
      </w:r>
      <w:r>
        <w:t xml:space="preserve">provided by local stakeholders in developing this Plan is </w:t>
      </w:r>
      <w:r w:rsidRPr="00A2772C">
        <w:t xml:space="preserve">a clear demonstration not only of the capacity and expertise </w:t>
      </w:r>
      <w:r w:rsidRPr="00A2772C">
        <w:t xml:space="preserve">that exists </w:t>
      </w:r>
      <w:r w:rsidRPr="00C366CC">
        <w:rPr>
          <w:noProof/>
        </w:rPr>
        <w:t>locally</w:t>
      </w:r>
      <w:r w:rsidRPr="00A2772C">
        <w:t xml:space="preserve"> but also the appetite for a more </w:t>
      </w:r>
      <w:r>
        <w:t>visible</w:t>
      </w:r>
      <w:r w:rsidRPr="00A2772C">
        <w:t>, purposeful</w:t>
      </w:r>
      <w:r>
        <w:t>,</w:t>
      </w:r>
      <w:r w:rsidRPr="00A2772C">
        <w:t xml:space="preserve"> and impactful innovation agenda in Lancashire</w:t>
      </w:r>
      <w:r>
        <w:t xml:space="preserve">. </w:t>
      </w:r>
      <w:r w:rsidRPr="00A2772C">
        <w:t xml:space="preserve">We must </w:t>
      </w:r>
      <w:r w:rsidRPr="00A2772C">
        <w:t>raise our level of ambition and</w:t>
      </w:r>
      <w:r w:rsidRPr="00A2772C">
        <w:t xml:space="preserve"> back this up with the </w:t>
      </w:r>
      <w:r w:rsidRPr="00A2772C">
        <w:t>right leadership</w:t>
      </w:r>
      <w:r w:rsidRPr="00A2772C">
        <w:t xml:space="preserve"> arrangements and resources</w:t>
      </w:r>
      <w:r>
        <w:t xml:space="preserve">. </w:t>
      </w:r>
      <w:r w:rsidRPr="00A2772C">
        <w:t>This Plan provides us with t</w:t>
      </w:r>
      <w:r w:rsidRPr="00A2772C">
        <w:t xml:space="preserve">he basis for achieving </w:t>
      </w:r>
      <w:r>
        <w:t xml:space="preserve">these </w:t>
      </w:r>
      <w:r w:rsidRPr="00A2772C">
        <w:t>aims</w:t>
      </w:r>
      <w:r>
        <w:t>.</w:t>
      </w:r>
    </w:p>
    <w:p w:rsidR="004B70F5" w:rsidRDefault="00BE7ED1" w:rsidP="0074708B">
      <w:pPr>
        <w:pStyle w:val="Heading2"/>
      </w:pPr>
      <w:bookmarkStart w:id="66" w:name="_Toc508803081"/>
      <w:r>
        <w:t>Structure of this Plan</w:t>
      </w:r>
      <w:bookmarkEnd w:id="66"/>
    </w:p>
    <w:p w:rsidR="00DF6043" w:rsidRPr="00A2772C" w:rsidRDefault="00BE7ED1" w:rsidP="00DF6043">
      <w:pPr>
        <w:pStyle w:val="NormalNumbered"/>
      </w:pPr>
      <w:r w:rsidRPr="00A2772C">
        <w:t xml:space="preserve">The structure and content of the rest of this document </w:t>
      </w:r>
      <w:r>
        <w:rPr>
          <w:noProof/>
        </w:rPr>
        <w:t>are</w:t>
      </w:r>
      <w:r w:rsidRPr="00A2772C">
        <w:t xml:space="preserve"> as follows:</w:t>
      </w:r>
    </w:p>
    <w:p w:rsidR="00DF6043" w:rsidRPr="00A2772C" w:rsidRDefault="00BE7ED1" w:rsidP="00DF6043">
      <w:pPr>
        <w:pStyle w:val="ListBullet"/>
      </w:pPr>
      <w:r w:rsidRPr="00A2772C">
        <w:lastRenderedPageBreak/>
        <w:t xml:space="preserve">Chapter 2 sets out the global innovation trends that are impacting </w:t>
      </w:r>
      <w:r>
        <w:t xml:space="preserve">on </w:t>
      </w:r>
      <w:r w:rsidRPr="00A2772C">
        <w:t xml:space="preserve">Lancashire’s economy </w:t>
      </w:r>
      <w:r>
        <w:t>and more widely</w:t>
      </w:r>
      <w:r w:rsidRPr="00A2772C">
        <w:t>. It summarises the i</w:t>
      </w:r>
      <w:r w:rsidRPr="00A2772C">
        <w:t xml:space="preserve">mplications </w:t>
      </w:r>
      <w:r>
        <w:rPr>
          <w:noProof/>
        </w:rPr>
        <w:t>of</w:t>
      </w:r>
      <w:r w:rsidRPr="00A2772C">
        <w:t xml:space="preserve"> this Plan and Lancashire’s innovation agenda of key policies at Lancashire, the North, and UK levels;</w:t>
      </w:r>
    </w:p>
    <w:p w:rsidR="00DF6043" w:rsidRPr="00A2772C" w:rsidRDefault="00BE7ED1" w:rsidP="00DF6043">
      <w:pPr>
        <w:pStyle w:val="ListBullet"/>
      </w:pPr>
      <w:r w:rsidRPr="00A2772C">
        <w:t>Chapter 3 presents an analysis of relevant literature, secondary data, and econometric forecast</w:t>
      </w:r>
      <w:r>
        <w:t xml:space="preserve">s </w:t>
      </w:r>
      <w:r w:rsidRPr="00A2772C">
        <w:t xml:space="preserve">to identify the core components of </w:t>
      </w:r>
      <w:r w:rsidRPr="00A2772C">
        <w:t>Lancashire’s economic and innovation landscape;</w:t>
      </w:r>
    </w:p>
    <w:p w:rsidR="00DF6043" w:rsidRPr="00A2772C" w:rsidRDefault="00BE7ED1" w:rsidP="00DF6043">
      <w:pPr>
        <w:pStyle w:val="ListBullet"/>
      </w:pPr>
      <w:r w:rsidRPr="00A2772C">
        <w:t xml:space="preserve">Chapter 4 then assesses the strengths, weaknesses, opportunities, and threats </w:t>
      </w:r>
      <w:r>
        <w:t xml:space="preserve">characterising </w:t>
      </w:r>
      <w:r w:rsidRPr="00A2772C">
        <w:t>Lancashire’s innovation ecosystem</w:t>
      </w:r>
      <w:r>
        <w:t xml:space="preserve"> at present</w:t>
      </w:r>
      <w:r w:rsidRPr="00A2772C">
        <w:t>;</w:t>
      </w:r>
    </w:p>
    <w:p w:rsidR="00DF6043" w:rsidRPr="00A2772C" w:rsidRDefault="00BE7ED1" w:rsidP="00DF6043">
      <w:pPr>
        <w:pStyle w:val="ListBullet"/>
      </w:pPr>
      <w:r w:rsidRPr="00A2772C">
        <w:t>Chapter 5 presents our Vision for how Lancashire’s innovation economy</w:t>
      </w:r>
      <w:r w:rsidRPr="00A2772C">
        <w:t xml:space="preserve"> can look in 2030;</w:t>
      </w:r>
    </w:p>
    <w:p w:rsidR="00DF6043" w:rsidRPr="00A2772C" w:rsidRDefault="00BE7ED1" w:rsidP="00DF6043">
      <w:pPr>
        <w:pStyle w:val="ListBullet"/>
      </w:pPr>
      <w:r w:rsidRPr="00A2772C">
        <w:t>Chapter 6 presents the Strategic Framework for this Plan, setting out the five Strategic Aims and three Cross-cutting Themes, as well as the Rationale and Objectives for each Aim;</w:t>
      </w:r>
    </w:p>
    <w:p w:rsidR="00DF6043" w:rsidRPr="00A2772C" w:rsidRDefault="00BE7ED1" w:rsidP="00DF6043">
      <w:pPr>
        <w:pStyle w:val="ListBullet"/>
      </w:pPr>
      <w:r w:rsidRPr="00A2772C">
        <w:t xml:space="preserve">Chapter 7 presents our ‘Action Agenda’, where we set out </w:t>
      </w:r>
      <w:r w:rsidRPr="00A2772C">
        <w:t>the practical actions required to support delivery of the Strategi</w:t>
      </w:r>
      <w:r>
        <w:t xml:space="preserve">c Aims. These are a mixture of </w:t>
      </w:r>
      <w:r w:rsidRPr="00A2772C">
        <w:t xml:space="preserve">‘quick wins’, </w:t>
      </w:r>
      <w:r w:rsidRPr="0074708B">
        <w:rPr>
          <w:noProof/>
        </w:rPr>
        <w:t>medium</w:t>
      </w:r>
      <w:r>
        <w:rPr>
          <w:noProof/>
        </w:rPr>
        <w:t>-</w:t>
      </w:r>
      <w:r w:rsidRPr="0074708B">
        <w:rPr>
          <w:noProof/>
        </w:rPr>
        <w:t>term</w:t>
      </w:r>
      <w:r w:rsidRPr="00A2772C">
        <w:t xml:space="preserve"> programmes, and long-term culture change; and</w:t>
      </w:r>
      <w:r>
        <w:t xml:space="preserve"> finally</w:t>
      </w:r>
    </w:p>
    <w:p w:rsidR="00AC3782" w:rsidRPr="00A2772C" w:rsidRDefault="00BE7ED1" w:rsidP="0074708B">
      <w:pPr>
        <w:pStyle w:val="ListBullet"/>
      </w:pPr>
      <w:r w:rsidRPr="00A2772C">
        <w:t xml:space="preserve">Chapter 8 looks at the Governance structures </w:t>
      </w:r>
      <w:r w:rsidRPr="00A2772C">
        <w:t>needed</w:t>
      </w:r>
      <w:r w:rsidRPr="00A2772C">
        <w:t xml:space="preserve"> for effective and ongoing m</w:t>
      </w:r>
      <w:r w:rsidRPr="00A2772C">
        <w:t>anagement and leadership of innovation in Lancashire.</w:t>
      </w:r>
    </w:p>
    <w:p w:rsidR="00D7516F" w:rsidRPr="00A2772C" w:rsidRDefault="00BE7ED1" w:rsidP="0074708B">
      <w:pPr>
        <w:pStyle w:val="Heading1"/>
        <w:framePr w:wrap="notBeside"/>
        <w:numPr>
          <w:ilvl w:val="0"/>
          <w:numId w:val="15"/>
        </w:numPr>
        <w:ind w:left="720" w:hanging="720"/>
      </w:pPr>
      <w:bookmarkStart w:id="67" w:name="_Toc508803082"/>
      <w:r w:rsidRPr="00A2772C">
        <w:lastRenderedPageBreak/>
        <w:t>Innovation Trends and Policy Context</w:t>
      </w:r>
      <w:bookmarkEnd w:id="67"/>
    </w:p>
    <w:p w:rsidR="00B076D8" w:rsidRPr="00A2772C" w:rsidRDefault="00BE7ED1" w:rsidP="008955E9">
      <w:pPr>
        <w:pStyle w:val="PullQuote"/>
      </w:pPr>
      <w:bookmarkStart w:id="68" w:name="_Toc502674260"/>
      <w:bookmarkStart w:id="69" w:name="_Toc502734603"/>
      <w:bookmarkStart w:id="70" w:name="_Toc502744316"/>
      <w:bookmarkStart w:id="71" w:name="_Toc504469777"/>
      <w:bookmarkStart w:id="72" w:name="_Toc504490217"/>
      <w:r w:rsidRPr="00A2772C">
        <w:t xml:space="preserve">This </w:t>
      </w:r>
      <w:r w:rsidRPr="00A2772C">
        <w:t xml:space="preserve">Section </w:t>
      </w:r>
      <w:r w:rsidRPr="00A2772C">
        <w:t>sets out the trends, policies, and future market and technology changes within which this Plan sits</w:t>
      </w:r>
      <w:r>
        <w:t>,</w:t>
      </w:r>
      <w:r w:rsidRPr="00A2772C">
        <w:t xml:space="preserve"> and </w:t>
      </w:r>
      <w:r>
        <w:t xml:space="preserve">which it </w:t>
      </w:r>
      <w:r w:rsidRPr="00A2772C">
        <w:t>must respond to.</w:t>
      </w:r>
      <w:bookmarkEnd w:id="68"/>
      <w:bookmarkEnd w:id="69"/>
      <w:bookmarkEnd w:id="70"/>
      <w:bookmarkEnd w:id="71"/>
      <w:bookmarkEnd w:id="72"/>
      <w:r w:rsidRPr="00A2772C">
        <w:t xml:space="preserve"> </w:t>
      </w:r>
    </w:p>
    <w:p w:rsidR="00AE5A72" w:rsidRPr="00A2772C" w:rsidRDefault="00BE7ED1" w:rsidP="0086183C">
      <w:pPr>
        <w:pStyle w:val="Heading3"/>
      </w:pPr>
      <w:r w:rsidRPr="00A2772C">
        <w:t>Global Innovation Tr</w:t>
      </w:r>
      <w:r w:rsidRPr="00A2772C">
        <w:t>ends</w:t>
      </w:r>
    </w:p>
    <w:p w:rsidR="00D230E5" w:rsidRPr="00A2772C" w:rsidRDefault="00BE7ED1" w:rsidP="00AC3782">
      <w:pPr>
        <w:pStyle w:val="NormalNumbered"/>
        <w:rPr>
          <w:rFonts w:asciiTheme="majorHAnsi" w:eastAsiaTheme="majorEastAsia" w:hAnsiTheme="majorHAnsi" w:cstheme="majorBidi"/>
          <w:bCs/>
        </w:rPr>
      </w:pPr>
      <w:r w:rsidRPr="00A2772C">
        <w:rPr>
          <w:rFonts w:asciiTheme="majorHAnsi" w:eastAsiaTheme="majorEastAsia" w:hAnsiTheme="majorHAnsi" w:cstheme="majorBidi"/>
          <w:bCs/>
        </w:rPr>
        <w:t xml:space="preserve">Lancashire’s economy is one piece </w:t>
      </w:r>
      <w:r w:rsidRPr="00C47366">
        <w:rPr>
          <w:rFonts w:asciiTheme="majorHAnsi" w:eastAsiaTheme="majorEastAsia" w:hAnsiTheme="majorHAnsi" w:cstheme="majorBidi"/>
          <w:bCs/>
          <w:noProof/>
        </w:rPr>
        <w:t>in</w:t>
      </w:r>
      <w:r w:rsidRPr="00A2772C">
        <w:rPr>
          <w:rFonts w:asciiTheme="majorHAnsi" w:eastAsiaTheme="majorEastAsia" w:hAnsiTheme="majorHAnsi" w:cstheme="majorBidi"/>
          <w:bCs/>
        </w:rPr>
        <w:t xml:space="preserve"> a regional, national</w:t>
      </w:r>
      <w:r w:rsidRPr="00A2772C">
        <w:rPr>
          <w:rFonts w:asciiTheme="majorHAnsi" w:eastAsiaTheme="majorEastAsia" w:hAnsiTheme="majorHAnsi" w:cstheme="majorBidi"/>
          <w:bCs/>
        </w:rPr>
        <w:t>,</w:t>
      </w:r>
      <w:r w:rsidRPr="00A2772C">
        <w:rPr>
          <w:rFonts w:asciiTheme="majorHAnsi" w:eastAsiaTheme="majorEastAsia" w:hAnsiTheme="majorHAnsi" w:cstheme="majorBidi"/>
          <w:bCs/>
        </w:rPr>
        <w:t xml:space="preserve"> and global jigsaw</w:t>
      </w:r>
      <w:r>
        <w:rPr>
          <w:rFonts w:asciiTheme="majorHAnsi" w:eastAsiaTheme="majorEastAsia" w:hAnsiTheme="majorHAnsi" w:cstheme="majorBidi"/>
          <w:bCs/>
        </w:rPr>
        <w:t xml:space="preserve">. </w:t>
      </w:r>
      <w:r w:rsidRPr="00A2772C">
        <w:rPr>
          <w:rFonts w:asciiTheme="majorHAnsi" w:eastAsiaTheme="majorEastAsia" w:hAnsiTheme="majorHAnsi" w:cstheme="majorBidi"/>
          <w:bCs/>
        </w:rPr>
        <w:t xml:space="preserve">This </w:t>
      </w:r>
      <w:r w:rsidRPr="00A2772C">
        <w:rPr>
          <w:rFonts w:asciiTheme="majorHAnsi" w:eastAsiaTheme="majorEastAsia" w:hAnsiTheme="majorHAnsi" w:cstheme="majorBidi"/>
          <w:bCs/>
        </w:rPr>
        <w:t xml:space="preserve">Innovation </w:t>
      </w:r>
      <w:r w:rsidRPr="00A2772C">
        <w:rPr>
          <w:rFonts w:asciiTheme="majorHAnsi" w:eastAsiaTheme="majorEastAsia" w:hAnsiTheme="majorHAnsi" w:cstheme="majorBidi"/>
          <w:bCs/>
        </w:rPr>
        <w:t xml:space="preserve">Plan plugs into this wider economic and policy context, building on key initiatives such as the recent Industrial Strategy, the </w:t>
      </w:r>
      <w:r w:rsidRPr="00C366CC">
        <w:rPr>
          <w:rFonts w:asciiTheme="majorHAnsi" w:eastAsiaTheme="majorEastAsia" w:hAnsiTheme="majorHAnsi" w:cstheme="majorBidi"/>
          <w:bCs/>
          <w:noProof/>
        </w:rPr>
        <w:t>Norther</w:t>
      </w:r>
      <w:r>
        <w:rPr>
          <w:rFonts w:asciiTheme="majorHAnsi" w:eastAsiaTheme="majorEastAsia" w:hAnsiTheme="majorHAnsi" w:cstheme="majorBidi"/>
          <w:bCs/>
          <w:noProof/>
        </w:rPr>
        <w:t>n</w:t>
      </w:r>
      <w:r w:rsidRPr="00A2772C">
        <w:rPr>
          <w:rFonts w:asciiTheme="majorHAnsi" w:eastAsiaTheme="majorEastAsia" w:hAnsiTheme="majorHAnsi" w:cstheme="majorBidi"/>
          <w:bCs/>
        </w:rPr>
        <w:t xml:space="preserve"> </w:t>
      </w:r>
      <w:r w:rsidRPr="00A2772C">
        <w:rPr>
          <w:rFonts w:asciiTheme="majorHAnsi" w:eastAsiaTheme="majorEastAsia" w:hAnsiTheme="majorHAnsi" w:cstheme="majorBidi"/>
          <w:bCs/>
        </w:rPr>
        <w:t>P</w:t>
      </w:r>
      <w:r w:rsidRPr="00A2772C">
        <w:rPr>
          <w:rFonts w:asciiTheme="majorHAnsi" w:eastAsiaTheme="majorEastAsia" w:hAnsiTheme="majorHAnsi" w:cstheme="majorBidi"/>
          <w:bCs/>
        </w:rPr>
        <w:t>owerhouse</w:t>
      </w:r>
      <w:r w:rsidRPr="00A2772C">
        <w:rPr>
          <w:rFonts w:asciiTheme="majorHAnsi" w:eastAsiaTheme="majorEastAsia" w:hAnsiTheme="majorHAnsi" w:cstheme="majorBidi"/>
          <w:bCs/>
        </w:rPr>
        <w:t>,</w:t>
      </w:r>
      <w:r w:rsidRPr="00A2772C">
        <w:rPr>
          <w:rFonts w:asciiTheme="majorHAnsi" w:eastAsiaTheme="majorEastAsia" w:hAnsiTheme="majorHAnsi" w:cstheme="majorBidi"/>
          <w:bCs/>
        </w:rPr>
        <w:t xml:space="preserve"> and the Science and Innovation </w:t>
      </w:r>
      <w:r>
        <w:rPr>
          <w:rFonts w:asciiTheme="majorHAnsi" w:eastAsiaTheme="majorEastAsia" w:hAnsiTheme="majorHAnsi" w:cstheme="majorBidi"/>
          <w:bCs/>
        </w:rPr>
        <w:t>A</w:t>
      </w:r>
      <w:r w:rsidRPr="00A2772C">
        <w:rPr>
          <w:rFonts w:asciiTheme="majorHAnsi" w:eastAsiaTheme="majorEastAsia" w:hAnsiTheme="majorHAnsi" w:cstheme="majorBidi"/>
          <w:bCs/>
        </w:rPr>
        <w:t xml:space="preserve">udits. </w:t>
      </w:r>
    </w:p>
    <w:p w:rsidR="00A25631" w:rsidRPr="00A2772C" w:rsidRDefault="00BE7ED1" w:rsidP="00AC3782">
      <w:pPr>
        <w:pStyle w:val="NormalNumbered"/>
        <w:rPr>
          <w:rFonts w:asciiTheme="majorHAnsi" w:eastAsiaTheme="majorEastAsia" w:hAnsiTheme="majorHAnsi" w:cstheme="majorBidi"/>
          <w:bCs/>
        </w:rPr>
      </w:pPr>
      <w:r w:rsidRPr="00A2772C">
        <w:rPr>
          <w:rFonts w:asciiTheme="majorHAnsi" w:eastAsiaTheme="majorEastAsia" w:hAnsiTheme="majorHAnsi" w:cstheme="majorBidi"/>
          <w:bCs/>
        </w:rPr>
        <w:t>In term of global trends,</w:t>
      </w:r>
      <w:r w:rsidRPr="00A2772C">
        <w:rPr>
          <w:rFonts w:asciiTheme="majorHAnsi" w:eastAsiaTheme="majorEastAsia" w:hAnsiTheme="majorHAnsi" w:cstheme="majorBidi"/>
          <w:b/>
          <w:bCs/>
        </w:rPr>
        <w:t xml:space="preserve"> </w:t>
      </w:r>
      <w:r w:rsidRPr="00A2772C">
        <w:rPr>
          <w:rFonts w:asciiTheme="majorHAnsi" w:eastAsiaTheme="majorEastAsia" w:hAnsiTheme="majorHAnsi" w:cstheme="majorBidi"/>
          <w:bCs/>
        </w:rPr>
        <w:t>G</w:t>
      </w:r>
      <w:r w:rsidRPr="00A2772C">
        <w:t xml:space="preserve">lobal </w:t>
      </w:r>
      <w:r>
        <w:t>V</w:t>
      </w:r>
      <w:r w:rsidRPr="00A2772C">
        <w:t xml:space="preserve">alue </w:t>
      </w:r>
      <w:r>
        <w:t>C</w:t>
      </w:r>
      <w:r w:rsidRPr="00A2772C">
        <w:t>hains (GVCs)</w:t>
      </w:r>
      <w:r w:rsidRPr="00A2772C">
        <w:t xml:space="preserve"> and Global Innovation Networks (GINs)</w:t>
      </w:r>
      <w:r w:rsidRPr="00A2772C">
        <w:t xml:space="preserve"> have become a </w:t>
      </w:r>
      <w:r w:rsidRPr="00A2772C">
        <w:t>central</w:t>
      </w:r>
      <w:r w:rsidRPr="00A2772C">
        <w:t xml:space="preserve"> feature of world trade, encompassing developing, emerging, and developed economies. The process of pro</w:t>
      </w:r>
      <w:r w:rsidRPr="00A2772C">
        <w:t>ducing goods</w:t>
      </w:r>
      <w:r w:rsidRPr="00A2772C">
        <w:t xml:space="preserve"> </w:t>
      </w:r>
      <w:r w:rsidRPr="00A2772C">
        <w:t xml:space="preserve">is increasingly carried out wherever the necessary skills and materials are available. </w:t>
      </w:r>
      <w:r w:rsidRPr="00A2772C">
        <w:t>H</w:t>
      </w:r>
      <w:r w:rsidRPr="00A2772C">
        <w:t xml:space="preserve">ow Lancashire’s </w:t>
      </w:r>
      <w:r w:rsidRPr="00A2772C">
        <w:t>businesses</w:t>
      </w:r>
      <w:r w:rsidRPr="00A2772C">
        <w:t xml:space="preserve"> can connect </w:t>
      </w:r>
      <w:r w:rsidRPr="00C366CC">
        <w:rPr>
          <w:noProof/>
        </w:rPr>
        <w:t>into</w:t>
      </w:r>
      <w:r w:rsidRPr="00A2772C">
        <w:t xml:space="preserve"> these value chains and innovation networks </w:t>
      </w:r>
      <w:r>
        <w:t xml:space="preserve">must </w:t>
      </w:r>
      <w:r w:rsidRPr="00A2772C">
        <w:t>form a key component of Lancashire’s innovation offer.</w:t>
      </w:r>
    </w:p>
    <w:p w:rsidR="00E612DC" w:rsidRPr="00A2772C" w:rsidRDefault="00BE7ED1" w:rsidP="00E612DC">
      <w:pPr>
        <w:pStyle w:val="NormalNumbered"/>
      </w:pPr>
      <w:r w:rsidRPr="00A2772C">
        <w:t>Rapid</w:t>
      </w:r>
      <w:r w:rsidRPr="00A2772C">
        <w:t xml:space="preserve"> market and technology change </w:t>
      </w:r>
      <w:r w:rsidRPr="00A2772C">
        <w:t xml:space="preserve">has been a key feature of </w:t>
      </w:r>
      <w:r w:rsidRPr="00A2772C">
        <w:t>all</w:t>
      </w:r>
      <w:r w:rsidRPr="00A2772C">
        <w:t xml:space="preserve"> economies and shows no signs of slowing down</w:t>
      </w:r>
      <w:r>
        <w:t xml:space="preserve">. </w:t>
      </w:r>
      <w:r w:rsidRPr="00A2772C">
        <w:t>The ‘Eight Great Technologies’</w:t>
      </w:r>
      <w:r w:rsidRPr="00A2772C">
        <w:t xml:space="preserve"> identified </w:t>
      </w:r>
      <w:r w:rsidRPr="00A2772C">
        <w:t xml:space="preserve">in 2012 </w:t>
      </w:r>
      <w:r w:rsidRPr="00A2772C">
        <w:t>by the then Chancellor still hold significant relevance today. They are:</w:t>
      </w:r>
    </w:p>
    <w:p w:rsidR="004B70F5" w:rsidRDefault="00BE7ED1" w:rsidP="00026DEA">
      <w:pPr>
        <w:pStyle w:val="ListBullet"/>
      </w:pPr>
      <w:r w:rsidRPr="00A2772C">
        <w:t>Advanced Materials and Nano</w:t>
      </w:r>
      <w:r w:rsidRPr="00A2772C">
        <w:t>technology</w:t>
      </w:r>
      <w:r>
        <w:t>;</w:t>
      </w:r>
    </w:p>
    <w:p w:rsidR="004B70F5" w:rsidRPr="00A2772C" w:rsidRDefault="00BE7ED1" w:rsidP="00026DEA">
      <w:pPr>
        <w:pStyle w:val="ListBullet"/>
      </w:pPr>
      <w:r w:rsidRPr="00A2772C">
        <w:t>Agri-Science</w:t>
      </w:r>
      <w:r>
        <w:t>;</w:t>
      </w:r>
    </w:p>
    <w:p w:rsidR="004B70F5" w:rsidRPr="00A2772C" w:rsidRDefault="00BE7ED1" w:rsidP="00E178EC">
      <w:pPr>
        <w:pStyle w:val="ListBullet"/>
      </w:pPr>
      <w:r w:rsidRPr="00A2772C">
        <w:t xml:space="preserve">Big Data and </w:t>
      </w:r>
      <w:r>
        <w:t>Energy</w:t>
      </w:r>
      <w:r w:rsidRPr="00A2772C">
        <w:t>-efficient computing</w:t>
      </w:r>
      <w:r>
        <w:t>;</w:t>
      </w:r>
    </w:p>
    <w:p w:rsidR="004B70F5" w:rsidRPr="00A2772C" w:rsidRDefault="00BE7ED1" w:rsidP="00C47366">
      <w:pPr>
        <w:pStyle w:val="ListBullet"/>
      </w:pPr>
      <w:r w:rsidRPr="00A2772C">
        <w:t xml:space="preserve">Energy </w:t>
      </w:r>
      <w:r>
        <w:t>and its storage;</w:t>
      </w:r>
    </w:p>
    <w:p w:rsidR="004B70F5" w:rsidRPr="00A2772C" w:rsidRDefault="00BE7ED1" w:rsidP="00E178EC">
      <w:pPr>
        <w:pStyle w:val="ListBullet"/>
      </w:pPr>
      <w:r w:rsidRPr="00A2772C">
        <w:t>Regenerative Medicine</w:t>
      </w:r>
      <w:r>
        <w:t>;</w:t>
      </w:r>
    </w:p>
    <w:p w:rsidR="004B70F5" w:rsidRPr="00A2772C" w:rsidRDefault="00BE7ED1" w:rsidP="00E178EC">
      <w:pPr>
        <w:pStyle w:val="ListBullet"/>
      </w:pPr>
      <w:r w:rsidRPr="00A2772C">
        <w:t>Robotics and autonomous systems (also a key feature of the recently published Industrial Strategy White Paper)</w:t>
      </w:r>
      <w:r>
        <w:t>;</w:t>
      </w:r>
    </w:p>
    <w:p w:rsidR="004B70F5" w:rsidRPr="00A2772C" w:rsidRDefault="00BE7ED1" w:rsidP="00E178EC">
      <w:pPr>
        <w:pStyle w:val="ListBullet"/>
      </w:pPr>
      <w:r w:rsidRPr="00A2772C">
        <w:t xml:space="preserve">Satellites and </w:t>
      </w:r>
      <w:r>
        <w:t xml:space="preserve">the </w:t>
      </w:r>
      <w:r w:rsidRPr="00A2772C">
        <w:t xml:space="preserve">commercial </w:t>
      </w:r>
      <w:r w:rsidRPr="00A2772C">
        <w:t>applications of space</w:t>
      </w:r>
      <w:r>
        <w:t>; and</w:t>
      </w:r>
    </w:p>
    <w:p w:rsidR="004B70F5" w:rsidRPr="00A2772C" w:rsidRDefault="00BE7ED1" w:rsidP="00E178EC">
      <w:pPr>
        <w:pStyle w:val="ListBullet"/>
      </w:pPr>
      <w:r w:rsidRPr="00A2772C">
        <w:t>Synthetic biology</w:t>
      </w:r>
      <w:r>
        <w:t>.</w:t>
      </w:r>
    </w:p>
    <w:p w:rsidR="00C47366" w:rsidRDefault="00BE7ED1" w:rsidP="00786711">
      <w:pPr>
        <w:pStyle w:val="NormalNumbered"/>
      </w:pPr>
      <w:r>
        <w:t xml:space="preserve">As explored in Section </w:t>
      </w:r>
      <w:r>
        <w:fldChar w:fldCharType="begin"/>
      </w:r>
      <w:r>
        <w:instrText xml:space="preserve"> REF _Ref508723562 \r \h </w:instrText>
      </w:r>
      <w:r>
        <w:fldChar w:fldCharType="separate"/>
      </w:r>
      <w:r>
        <w:t>5</w:t>
      </w:r>
      <w:r>
        <w:fldChar w:fldCharType="end"/>
      </w:r>
      <w:r>
        <w:t>, L</w:t>
      </w:r>
      <w:r w:rsidRPr="00A2772C">
        <w:t>ancashire has well established and recognised strengths in a number of these area</w:t>
      </w:r>
      <w:r>
        <w:t>s.</w:t>
      </w:r>
    </w:p>
    <w:p w:rsidR="003D7869" w:rsidRPr="00A2772C" w:rsidRDefault="00BE7ED1" w:rsidP="00786711">
      <w:pPr>
        <w:pStyle w:val="NormalNumbered"/>
      </w:pPr>
      <w:r w:rsidRPr="00A2772C">
        <w:lastRenderedPageBreak/>
        <w:t>In addi</w:t>
      </w:r>
      <w:r w:rsidRPr="00A2772C">
        <w:t>tion to new technologies, new business models will continue to change the way we work. These models revolve around a number of themes that are relevant across multiple sectors. These include:</w:t>
      </w:r>
    </w:p>
    <w:p w:rsidR="0017392B" w:rsidRPr="00A2772C" w:rsidRDefault="00BE7ED1" w:rsidP="0017392B">
      <w:pPr>
        <w:pStyle w:val="ListBullet"/>
      </w:pPr>
      <w:r w:rsidRPr="00A2772C">
        <w:t>An ageing workforce, working longer;</w:t>
      </w:r>
    </w:p>
    <w:p w:rsidR="0017392B" w:rsidRPr="00A2772C" w:rsidRDefault="00BE7ED1" w:rsidP="0017392B">
      <w:pPr>
        <w:pStyle w:val="ListBullet"/>
      </w:pPr>
      <w:r w:rsidRPr="00A2772C">
        <w:t>Increasingly complex and co</w:t>
      </w:r>
      <w:r w:rsidRPr="00A2772C">
        <w:t>nnected markets, with increased risks;</w:t>
      </w:r>
    </w:p>
    <w:p w:rsidR="0042264E" w:rsidRPr="00A2772C" w:rsidRDefault="00BE7ED1" w:rsidP="00786711">
      <w:pPr>
        <w:pStyle w:val="ListBullet"/>
      </w:pPr>
      <w:r w:rsidRPr="00A2772C">
        <w:t>Vertical integration and distributed collaboration</w:t>
      </w:r>
      <w:r w:rsidRPr="00A2772C">
        <w:t>;</w:t>
      </w:r>
    </w:p>
    <w:p w:rsidR="003D7869" w:rsidRPr="00A2772C" w:rsidRDefault="00BE7ED1" w:rsidP="00786711">
      <w:pPr>
        <w:pStyle w:val="ListBullet"/>
      </w:pPr>
      <w:r w:rsidRPr="00A2772C">
        <w:t xml:space="preserve">Outsourcing </w:t>
      </w:r>
      <w:r w:rsidRPr="00A2772C">
        <w:t>and</w:t>
      </w:r>
      <w:r w:rsidRPr="00A2772C">
        <w:t xml:space="preserve"> </w:t>
      </w:r>
      <w:r>
        <w:t xml:space="preserve">the </w:t>
      </w:r>
      <w:r w:rsidRPr="00A2772C">
        <w:t xml:space="preserve">automation of </w:t>
      </w:r>
      <w:r>
        <w:t xml:space="preserve">rote-type </w:t>
      </w:r>
      <w:r>
        <w:t>activities</w:t>
      </w:r>
      <w:r>
        <w:t xml:space="preserve">; </w:t>
      </w:r>
    </w:p>
    <w:p w:rsidR="003D7869" w:rsidRPr="00A2772C" w:rsidRDefault="00BE7ED1" w:rsidP="003D7869">
      <w:pPr>
        <w:pStyle w:val="ListBullet"/>
      </w:pPr>
      <w:r w:rsidRPr="00A2772C">
        <w:t>Migration to the web, and leverage of ‘long-tail’ markets;</w:t>
      </w:r>
    </w:p>
    <w:p w:rsidR="003D7869" w:rsidRPr="00A2772C" w:rsidRDefault="00BE7ED1" w:rsidP="003D7869">
      <w:pPr>
        <w:pStyle w:val="ListBullet"/>
      </w:pPr>
      <w:r>
        <w:t>Employment being dominated progressively by</w:t>
      </w:r>
      <w:r w:rsidRPr="00A2772C">
        <w:t xml:space="preserve"> </w:t>
      </w:r>
      <w:r w:rsidRPr="00A2772C">
        <w:t>‘</w:t>
      </w:r>
      <w:r>
        <w:t>n</w:t>
      </w:r>
      <w:r w:rsidRPr="00A2772C">
        <w:t xml:space="preserve">on-routine’ activities </w:t>
      </w:r>
      <w:r>
        <w:t xml:space="preserve">which </w:t>
      </w:r>
      <w:r w:rsidRPr="00A2772C">
        <w:t xml:space="preserve">cannot be automated </w:t>
      </w:r>
      <w:r w:rsidRPr="00A2772C">
        <w:t>– such as</w:t>
      </w:r>
      <w:r w:rsidRPr="00A2772C">
        <w:t xml:space="preserve"> innovation, leadership </w:t>
      </w:r>
      <w:r>
        <w:t>and</w:t>
      </w:r>
      <w:r w:rsidRPr="00A2772C">
        <w:t xml:space="preserve"> sales</w:t>
      </w:r>
      <w:r>
        <w:t>;</w:t>
      </w:r>
    </w:p>
    <w:p w:rsidR="003D7869" w:rsidRPr="00A2772C" w:rsidRDefault="00BE7ED1" w:rsidP="003D7869">
      <w:pPr>
        <w:pStyle w:val="ListBullet"/>
      </w:pPr>
      <w:r w:rsidRPr="00A2772C">
        <w:t xml:space="preserve">‘Creativity’ </w:t>
      </w:r>
      <w:r>
        <w:t xml:space="preserve">being </w:t>
      </w:r>
      <w:r w:rsidRPr="00A2772C">
        <w:t>the most important leadership competency for future successful business</w:t>
      </w:r>
      <w:r w:rsidRPr="00A2772C">
        <w:t>es; and</w:t>
      </w:r>
    </w:p>
    <w:p w:rsidR="003D7869" w:rsidRPr="00A2772C" w:rsidRDefault="00BE7ED1" w:rsidP="003D7869">
      <w:pPr>
        <w:pStyle w:val="ListBullet"/>
      </w:pPr>
      <w:r w:rsidRPr="00A2772C">
        <w:t>Intel</w:t>
      </w:r>
      <w:r w:rsidRPr="00A2772C">
        <w:t>ligence, agility, and</w:t>
      </w:r>
      <w:r w:rsidRPr="00A2772C">
        <w:t xml:space="preserve"> responsiveness </w:t>
      </w:r>
      <w:r>
        <w:t>being the key character</w:t>
      </w:r>
      <w:r>
        <w:t xml:space="preserve">istics of </w:t>
      </w:r>
      <w:r w:rsidRPr="00A2772C">
        <w:t>business performance</w:t>
      </w:r>
      <w:r w:rsidRPr="00A2772C">
        <w:t>.</w:t>
      </w:r>
    </w:p>
    <w:p w:rsidR="00A87EE8" w:rsidRPr="00A2772C" w:rsidRDefault="00BE7ED1" w:rsidP="00A87EE8">
      <w:pPr>
        <w:pStyle w:val="NormalNumbered"/>
      </w:pPr>
      <w:r w:rsidRPr="00A2772C">
        <w:t>With the details of post-Brexit Britain’s economic landscape continuing to emerge, many uncertainties remain. However, one thing is certain, innovation will need to be a fundamental part of local economic growth and in drivi</w:t>
      </w:r>
      <w:r w:rsidRPr="00A2772C">
        <w:t>ng p</w:t>
      </w:r>
      <w:r w:rsidRPr="00A2772C">
        <w:t>roductivity increases. Business-as-</w:t>
      </w:r>
      <w:r w:rsidRPr="00A2772C">
        <w:t>usual will not tackle the existing challenges, or capitalise on the opportunities</w:t>
      </w:r>
      <w:r>
        <w:t>,</w:t>
      </w:r>
      <w:r w:rsidRPr="00A2772C">
        <w:t xml:space="preserve"> or mitigate the risks of Britain’s new trading relationships.</w:t>
      </w:r>
      <w:r w:rsidRPr="00A2772C">
        <w:t xml:space="preserve"> As with the GVC and GIN connectivity </w:t>
      </w:r>
      <w:r>
        <w:t>touched</w:t>
      </w:r>
      <w:r>
        <w:t xml:space="preserve"> on above</w:t>
      </w:r>
      <w:r w:rsidRPr="00A2772C">
        <w:t>, adopting an inter</w:t>
      </w:r>
      <w:r w:rsidRPr="00A2772C">
        <w:t>national trading perspective will be an important part of growing Lancashire’s innovation capability and commercialisation.</w:t>
      </w:r>
    </w:p>
    <w:p w:rsidR="00F57FBD" w:rsidRPr="00A2772C" w:rsidRDefault="00BE7ED1" w:rsidP="00A87EE8">
      <w:pPr>
        <w:pStyle w:val="Heading3"/>
      </w:pPr>
      <w:r w:rsidRPr="00A2772C">
        <w:t>UK Policy</w:t>
      </w:r>
    </w:p>
    <w:p w:rsidR="00AC3782" w:rsidRPr="00A2772C" w:rsidRDefault="00BE7ED1" w:rsidP="00D8766D">
      <w:pPr>
        <w:pStyle w:val="NormalNumbered"/>
      </w:pPr>
      <w:r w:rsidRPr="00A2772C">
        <w:t xml:space="preserve">The recent </w:t>
      </w:r>
      <w:r w:rsidRPr="00A2772C">
        <w:rPr>
          <w:i/>
        </w:rPr>
        <w:t>Industrial Strategy Building a Britain fit for the future</w:t>
      </w:r>
      <w:r w:rsidRPr="00A2772C">
        <w:t xml:space="preserve"> White Paper</w:t>
      </w:r>
      <w:r w:rsidRPr="00A2772C">
        <w:t xml:space="preserve"> sets out a more interventionist approach </w:t>
      </w:r>
      <w:r w:rsidRPr="00A2772C">
        <w:t xml:space="preserve">to stimulating the economy and driving productivity across the UK. </w:t>
      </w:r>
      <w:r w:rsidRPr="00A2772C">
        <w:t xml:space="preserve">Several proposed initiatives are of direct relevance to this </w:t>
      </w:r>
      <w:r w:rsidRPr="0074708B">
        <w:rPr>
          <w:noProof/>
        </w:rPr>
        <w:t>Plan</w:t>
      </w:r>
      <w:r w:rsidRPr="00A2772C">
        <w:t xml:space="preserve"> and are in areas in which Lancashire is well-positioned to capitalise on.</w:t>
      </w:r>
    </w:p>
    <w:p w:rsidR="00674F70" w:rsidRPr="00A2772C" w:rsidRDefault="00BE7ED1" w:rsidP="00B076D8">
      <w:pPr>
        <w:pStyle w:val="NormalNumbered"/>
      </w:pPr>
      <w:r w:rsidRPr="00A2772C">
        <w:t xml:space="preserve">The </w:t>
      </w:r>
      <w:r w:rsidRPr="00A2772C">
        <w:rPr>
          <w:i/>
        </w:rPr>
        <w:t xml:space="preserve">Made Smarter Review 2017 </w:t>
      </w:r>
      <w:r w:rsidRPr="00A2772C">
        <w:t xml:space="preserve">focussed on the challenges in industrial </w:t>
      </w:r>
      <w:r>
        <w:t>d</w:t>
      </w:r>
      <w:r>
        <w:t>igital</w:t>
      </w:r>
      <w:r w:rsidRPr="00A2772C">
        <w:t xml:space="preserve">isation. The Review acknowledged the opportunities the North West could capitalise on. </w:t>
      </w:r>
      <w:r>
        <w:t xml:space="preserve">It </w:t>
      </w:r>
      <w:r>
        <w:t>also</w:t>
      </w:r>
      <w:r>
        <w:t xml:space="preserve"> </w:t>
      </w:r>
      <w:r w:rsidRPr="00A2772C">
        <w:t>recommends i</w:t>
      </w:r>
      <w:r w:rsidRPr="00A2772C">
        <w:t>nvest</w:t>
      </w:r>
      <w:r w:rsidRPr="00A2772C">
        <w:t>ment</w:t>
      </w:r>
      <w:r w:rsidRPr="00A2772C">
        <w:t xml:space="preserve"> in a new National Adoption Programme (NAP). This w</w:t>
      </w:r>
      <w:r>
        <w:t xml:space="preserve">ill </w:t>
      </w:r>
      <w:r w:rsidRPr="00A2772C">
        <w:t>accelerate the development and diffus</w:t>
      </w:r>
      <w:r w:rsidRPr="00A2772C">
        <w:t xml:space="preserve">ion of Industrial Digital Technologies (IDTS) through focused support to </w:t>
      </w:r>
      <w:r>
        <w:t xml:space="preserve">SMEs in </w:t>
      </w:r>
      <w:r w:rsidRPr="00A2772C">
        <w:t>the UK regions. As part of the NAP development, a three-year pilot project will be undertaken in the North West. The project aims to increase GVA by 15% over the pilot period</w:t>
      </w:r>
      <w:r>
        <w:t>,</w:t>
      </w:r>
      <w:r>
        <w:t xml:space="preserve"> </w:t>
      </w:r>
      <w:r w:rsidRPr="00A2772C">
        <w:t>delivering an estimated £70 million benefit. The pilot will support twenty emerging technology start-ups</w:t>
      </w:r>
      <w:r>
        <w:t>,</w:t>
      </w:r>
      <w:r w:rsidRPr="00A2772C">
        <w:t xml:space="preserve"> working directly with industry on new projects.</w:t>
      </w:r>
    </w:p>
    <w:p w:rsidR="00674F70" w:rsidRPr="00A2772C" w:rsidRDefault="00BE7ED1" w:rsidP="00674F70">
      <w:pPr>
        <w:pStyle w:val="NormalNumbered"/>
      </w:pPr>
      <w:r w:rsidRPr="00A2772C">
        <w:t xml:space="preserve">The North West was chosen </w:t>
      </w:r>
      <w:r>
        <w:t xml:space="preserve">for a pilot NAP </w:t>
      </w:r>
      <w:r w:rsidRPr="00A2772C">
        <w:t>partly because of the region’s substantial manufacturing ou</w:t>
      </w:r>
      <w:r w:rsidRPr="00A2772C">
        <w:t xml:space="preserve">tput, producing almost 10% of the UK’s total exports, </w:t>
      </w:r>
      <w:r w:rsidRPr="00A2772C">
        <w:t>and</w:t>
      </w:r>
      <w:r>
        <w:t xml:space="preserve"> its </w:t>
      </w:r>
      <w:r w:rsidRPr="00A2772C">
        <w:t xml:space="preserve">prominence in several industrial sectors such as </w:t>
      </w:r>
      <w:r>
        <w:t>Aerospace</w:t>
      </w:r>
      <w:r w:rsidRPr="00A2772C">
        <w:t xml:space="preserve">, </w:t>
      </w:r>
      <w:r>
        <w:t>Automot</w:t>
      </w:r>
      <w:r w:rsidRPr="00A2772C">
        <w:t xml:space="preserve">ive, </w:t>
      </w:r>
      <w:r>
        <w:t>Chemical</w:t>
      </w:r>
      <w:r w:rsidRPr="00A2772C">
        <w:t xml:space="preserve">s, </w:t>
      </w:r>
      <w:r>
        <w:t>Biomanufacturing</w:t>
      </w:r>
      <w:r w:rsidRPr="00A2772C">
        <w:t xml:space="preserve"> and </w:t>
      </w:r>
      <w:r>
        <w:t>Agricu</w:t>
      </w:r>
      <w:r w:rsidRPr="00A2772C">
        <w:t>lture. Lancashire has significant strengths in these areas and should be at the fore</w:t>
      </w:r>
      <w:r w:rsidRPr="00A2772C">
        <w:t>front of delivering, and benefiting from, the pilot.</w:t>
      </w:r>
    </w:p>
    <w:p w:rsidR="00B216CA" w:rsidRPr="00A2772C" w:rsidRDefault="00BE7ED1" w:rsidP="00B216CA">
      <w:pPr>
        <w:pStyle w:val="Caption"/>
      </w:pPr>
      <w:bookmarkStart w:id="73" w:name="_Ref500759010"/>
      <w:bookmarkStart w:id="74" w:name="_Ref500759013"/>
      <w:r w:rsidRPr="00A2772C">
        <w:lastRenderedPageBreak/>
        <w:t xml:space="preserve">Box </w:t>
      </w:r>
      <w:r>
        <w:fldChar w:fldCharType="begin"/>
      </w:r>
      <w:r>
        <w:instrText xml:space="preserve"> SEQ Box \* ARABIC </w:instrText>
      </w:r>
      <w:r>
        <w:fldChar w:fldCharType="separate"/>
      </w:r>
      <w:r>
        <w:rPr>
          <w:noProof/>
        </w:rPr>
        <w:t>1</w:t>
      </w:r>
      <w:r>
        <w:rPr>
          <w:noProof/>
        </w:rPr>
        <w:fldChar w:fldCharType="end"/>
      </w:r>
      <w:bookmarkEnd w:id="73"/>
      <w:r w:rsidRPr="00A2772C">
        <w:t xml:space="preserve">: </w:t>
      </w:r>
      <w:bookmarkEnd w:id="74"/>
      <w:r w:rsidRPr="00A2772C">
        <w:t>The Industrial Strategy</w:t>
      </w:r>
    </w:p>
    <w:tbl>
      <w:tblPr>
        <w:tblStyle w:val="SDGTableDefault1"/>
        <w:tblW w:w="8789" w:type="dxa"/>
        <w:tblLook w:val="04A0" w:firstRow="1" w:lastRow="0" w:firstColumn="1" w:lastColumn="0" w:noHBand="0" w:noVBand="1"/>
      </w:tblPr>
      <w:tblGrid>
        <w:gridCol w:w="8789"/>
      </w:tblGrid>
      <w:tr w:rsidR="00351F99" w:rsidTr="0035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B216CA" w:rsidRPr="00A2772C" w:rsidRDefault="00BE7ED1" w:rsidP="00B216CA">
            <w:r w:rsidRPr="00A2772C">
              <w:rPr>
                <w:i/>
              </w:rPr>
              <w:t>Industrial Strategy Building a Britain fit for the future White Paper</w:t>
            </w:r>
          </w:p>
        </w:tc>
      </w:tr>
      <w:tr w:rsidR="00351F99" w:rsidTr="00351F99">
        <w:trPr>
          <w:cnfStyle w:val="000000100000" w:firstRow="0" w:lastRow="0" w:firstColumn="0" w:lastColumn="0" w:oddVBand="0" w:evenVBand="0" w:oddHBand="1" w:evenHBand="0" w:firstRowFirstColumn="0" w:firstRowLastColumn="0" w:lastRowFirstColumn="0" w:lastRowLastColumn="0"/>
          <w:trHeight w:val="4013"/>
        </w:trPr>
        <w:tc>
          <w:tcPr>
            <w:cnfStyle w:val="001000000000" w:firstRow="0" w:lastRow="0" w:firstColumn="1" w:lastColumn="0" w:oddVBand="0" w:evenVBand="0" w:oddHBand="0" w:evenHBand="0" w:firstRowFirstColumn="0" w:firstRowLastColumn="0" w:lastRowFirstColumn="0" w:lastRowLastColumn="0"/>
            <w:tcW w:w="8789" w:type="dxa"/>
          </w:tcPr>
          <w:p w:rsidR="00B216CA" w:rsidRPr="00A2772C" w:rsidRDefault="00BE7ED1" w:rsidP="0074708B">
            <w:pPr>
              <w:pStyle w:val="ListBullet"/>
            </w:pPr>
            <w:r w:rsidRPr="00A2772C">
              <w:t xml:space="preserve">The </w:t>
            </w:r>
            <w:r w:rsidRPr="00A2772C">
              <w:rPr>
                <w:i/>
              </w:rPr>
              <w:t xml:space="preserve">Industrial Strategy Building a Britain fit for the future </w:t>
            </w:r>
            <w:r w:rsidRPr="00A2772C">
              <w:t xml:space="preserve">White Paper sets out the Government’s plan to boost productivity and earning power throughout the UK. Innovation, through ideas generation and adoption, is a fundamental pillar of the plan. </w:t>
            </w:r>
          </w:p>
          <w:p w:rsidR="004741F6" w:rsidRPr="00A2772C" w:rsidRDefault="00BE7ED1" w:rsidP="0074708B">
            <w:pPr>
              <w:pStyle w:val="ListBullet"/>
            </w:pPr>
            <w:r w:rsidRPr="00A2772C">
              <w:t>The White Paper sets out the ‘Four G</w:t>
            </w:r>
            <w:r w:rsidRPr="00A2772C">
              <w:t>rand</w:t>
            </w:r>
            <w:r w:rsidRPr="00A2772C">
              <w:t xml:space="preserve"> Challenges’ </w:t>
            </w:r>
            <w:r w:rsidRPr="00A2772C">
              <w:t>for the UK e</w:t>
            </w:r>
            <w:r w:rsidRPr="00A2772C">
              <w:t>conomy. These are:</w:t>
            </w:r>
          </w:p>
          <w:p w:rsidR="00DB3ECF" w:rsidRPr="00A2772C" w:rsidRDefault="00BE7ED1" w:rsidP="0074708B">
            <w:pPr>
              <w:pStyle w:val="ListBullet2"/>
            </w:pPr>
            <w:r w:rsidRPr="00A2772C">
              <w:t xml:space="preserve">Putting the UK at the forefront of the </w:t>
            </w:r>
            <w:r>
              <w:t>Artificial Intelligence</w:t>
            </w:r>
            <w:r w:rsidRPr="00A2772C">
              <w:t xml:space="preserve"> and data revolution;</w:t>
            </w:r>
          </w:p>
          <w:p w:rsidR="00DB3ECF" w:rsidRPr="00A2772C" w:rsidRDefault="00BE7ED1" w:rsidP="0074708B">
            <w:pPr>
              <w:pStyle w:val="ListBullet2"/>
            </w:pPr>
            <w:r w:rsidRPr="00A2772C">
              <w:t>Maximising the advantages for UK industry from the global shift to clean growth;</w:t>
            </w:r>
          </w:p>
          <w:p w:rsidR="00DB3ECF" w:rsidRPr="00A2772C" w:rsidRDefault="00BE7ED1" w:rsidP="0074708B">
            <w:pPr>
              <w:pStyle w:val="ListBullet2"/>
            </w:pPr>
            <w:r w:rsidRPr="00A2772C">
              <w:t xml:space="preserve">Being a world leader in shaping the future of mobility; and </w:t>
            </w:r>
          </w:p>
          <w:p w:rsidR="00DB3ECF" w:rsidRPr="00A2772C" w:rsidRDefault="00BE7ED1" w:rsidP="0074708B">
            <w:pPr>
              <w:pStyle w:val="ListBullet2"/>
            </w:pPr>
            <w:r w:rsidRPr="00A2772C">
              <w:t xml:space="preserve">Harnessing </w:t>
            </w:r>
            <w:r w:rsidRPr="00A2772C">
              <w:t>the power of innovation to help meet the needs of an ageing society.</w:t>
            </w:r>
          </w:p>
          <w:p w:rsidR="00B216CA" w:rsidRPr="00A2772C" w:rsidRDefault="00BE7ED1" w:rsidP="0074708B">
            <w:pPr>
              <w:pStyle w:val="ListBullet"/>
            </w:pPr>
            <w:r w:rsidRPr="00A2772C">
              <w:t>To support the rapid adoption of AI technologies at scale, a new Office for AI will be set up and will work initially with six priority business sectors, most of which Lancashire has cons</w:t>
            </w:r>
            <w:r w:rsidRPr="00A2772C">
              <w:t xml:space="preserve">iderable strengths in, including </w:t>
            </w:r>
            <w:r>
              <w:t>Cybersecurity</w:t>
            </w:r>
            <w:r w:rsidRPr="00A2772C">
              <w:t xml:space="preserve">, </w:t>
            </w:r>
            <w:r w:rsidRPr="00A2772C">
              <w:t>Manufacturing</w:t>
            </w:r>
            <w:r w:rsidRPr="00A2772C">
              <w:t xml:space="preserve">, </w:t>
            </w:r>
            <w:r>
              <w:t>Energy</w:t>
            </w:r>
            <w:r w:rsidRPr="00A2772C">
              <w:t xml:space="preserve">, and </w:t>
            </w:r>
            <w:r>
              <w:t>Agricu</w:t>
            </w:r>
            <w:r w:rsidRPr="00A2772C">
              <w:t xml:space="preserve">ltural </w:t>
            </w:r>
            <w:r w:rsidRPr="00A2772C">
              <w:t>Technology</w:t>
            </w:r>
            <w:r w:rsidRPr="00A2772C">
              <w:t>.</w:t>
            </w:r>
          </w:p>
          <w:p w:rsidR="00B216CA" w:rsidRPr="00A2772C" w:rsidRDefault="00BE7ED1" w:rsidP="0074708B">
            <w:pPr>
              <w:pStyle w:val="ListBullet"/>
            </w:pPr>
            <w:r w:rsidRPr="00A2772C">
              <w:t xml:space="preserve">An ambition for </w:t>
            </w:r>
            <w:r w:rsidRPr="00A2772C">
              <w:t xml:space="preserve">Clean Growth </w:t>
            </w:r>
            <w:r w:rsidRPr="00A2772C">
              <w:t xml:space="preserve">will be supported by Government support for </w:t>
            </w:r>
            <w:r w:rsidRPr="00A2772C">
              <w:t xml:space="preserve">Smart </w:t>
            </w:r>
            <w:r>
              <w:t>Energy</w:t>
            </w:r>
            <w:r w:rsidRPr="00A2772C">
              <w:t xml:space="preserve"> systems, innovation in the </w:t>
            </w:r>
            <w:r w:rsidRPr="00A2772C">
              <w:t xml:space="preserve">Low Carbon </w:t>
            </w:r>
            <w:r w:rsidRPr="00A2772C">
              <w:t xml:space="preserve">industry, and innovation in high-efficiency </w:t>
            </w:r>
            <w:r>
              <w:t>Agricu</w:t>
            </w:r>
            <w:r w:rsidRPr="00A2772C">
              <w:t xml:space="preserve">lture. There are considerable </w:t>
            </w:r>
            <w:r>
              <w:t xml:space="preserve">County </w:t>
            </w:r>
            <w:r w:rsidRPr="00A2772C">
              <w:t xml:space="preserve">strengths </w:t>
            </w:r>
            <w:r w:rsidRPr="00A2772C">
              <w:t xml:space="preserve">in </w:t>
            </w:r>
            <w:r w:rsidRPr="00A2772C">
              <w:t>these areas</w:t>
            </w:r>
            <w:r>
              <w:t>, which could be harnessed</w:t>
            </w:r>
            <w:r w:rsidRPr="00A2772C">
              <w:t xml:space="preserve"> to capitalise on this.</w:t>
            </w:r>
          </w:p>
          <w:p w:rsidR="00A87EE8" w:rsidRPr="00A2772C" w:rsidRDefault="00BE7ED1" w:rsidP="0074708B">
            <w:pPr>
              <w:pStyle w:val="ListBullet"/>
            </w:pPr>
            <w:r w:rsidRPr="00A2772C">
              <w:t xml:space="preserve">The £115m </w:t>
            </w:r>
            <w:r>
              <w:t>‘</w:t>
            </w:r>
            <w:r w:rsidRPr="00A2772C">
              <w:t>Strength in Places</w:t>
            </w:r>
            <w:r>
              <w:t>’</w:t>
            </w:r>
            <w:r w:rsidRPr="00A2772C">
              <w:t xml:space="preserve"> Fund looks to support areas to build on their science and innova</w:t>
            </w:r>
            <w:r w:rsidRPr="00A2772C">
              <w:t xml:space="preserve">tion strengths and develop stronger local networks. </w:t>
            </w:r>
            <w:r>
              <w:t>Again, Lancashire should be well placed to access this funding</w:t>
            </w:r>
            <w:r w:rsidRPr="00A2772C">
              <w:t>.</w:t>
            </w:r>
          </w:p>
          <w:p w:rsidR="00B216CA" w:rsidRPr="00A2772C" w:rsidRDefault="00BE7ED1" w:rsidP="0074708B">
            <w:pPr>
              <w:pStyle w:val="ListBullet"/>
            </w:pPr>
            <w:r w:rsidRPr="00A2772C">
              <w:t>The launch and roll-out of Sector Deals, partnerships between government and industry, aiming to increase sector productivity. The first Sec</w:t>
            </w:r>
            <w:r w:rsidRPr="00A2772C">
              <w:t xml:space="preserve">tor Deals are in </w:t>
            </w:r>
            <w:r>
              <w:t>Life Science</w:t>
            </w:r>
            <w:r w:rsidRPr="00A2772C">
              <w:t xml:space="preserve">s, </w:t>
            </w:r>
            <w:r>
              <w:t>Construction</w:t>
            </w:r>
            <w:r w:rsidRPr="00A2772C">
              <w:t xml:space="preserve">, </w:t>
            </w:r>
            <w:r>
              <w:t>Artificial Intelligence</w:t>
            </w:r>
            <w:r w:rsidRPr="00A2772C">
              <w:t xml:space="preserve">, </w:t>
            </w:r>
            <w:r>
              <w:t>Nuclear</w:t>
            </w:r>
            <w:r w:rsidRPr="00A2772C">
              <w:t xml:space="preserve"> and the </w:t>
            </w:r>
            <w:r>
              <w:t>Automot</w:t>
            </w:r>
            <w:r w:rsidRPr="00A2772C">
              <w:t>ive sector.</w:t>
            </w:r>
          </w:p>
        </w:tc>
      </w:tr>
    </w:tbl>
    <w:p w:rsidR="00865EF8" w:rsidRPr="00A2772C" w:rsidRDefault="00BE7ED1" w:rsidP="0074708B">
      <w:pPr>
        <w:pStyle w:val="Source"/>
      </w:pPr>
      <w:r w:rsidRPr="00865EF8">
        <w:t>Source: Department for Business, Energy and Industrial Strategy, Industrial Strategy: Building a Britain fit for the future</w:t>
      </w:r>
      <w:r>
        <w:t xml:space="preserve"> (2017)</w:t>
      </w:r>
    </w:p>
    <w:p w:rsidR="00CF75D4" w:rsidRPr="00A2772C" w:rsidRDefault="00BE7ED1" w:rsidP="00B076D8">
      <w:pPr>
        <w:pStyle w:val="NormalNumbered"/>
      </w:pPr>
      <w:r w:rsidRPr="00A2772C">
        <w:t>The Department for</w:t>
      </w:r>
      <w:r w:rsidRPr="00A2772C">
        <w:t xml:space="preserve"> Business, Energy, an</w:t>
      </w:r>
      <w:r w:rsidRPr="00A2772C">
        <w:t>d Industrial Strategy (BEIS) has</w:t>
      </w:r>
      <w:r w:rsidRPr="00A2772C">
        <w:t xml:space="preserve"> commissioned </w:t>
      </w:r>
      <w:r w:rsidRPr="00A2772C">
        <w:t>Science and Innovation Audits help local</w:t>
      </w:r>
      <w:r w:rsidRPr="00A2772C">
        <w:t xml:space="preserve"> areas</w:t>
      </w:r>
      <w:r w:rsidRPr="00A2772C">
        <w:t xml:space="preserve"> </w:t>
      </w:r>
      <w:r w:rsidRPr="00A2772C">
        <w:t xml:space="preserve">to </w:t>
      </w:r>
      <w:r w:rsidRPr="00A2772C">
        <w:t xml:space="preserve">map their research and innovation </w:t>
      </w:r>
      <w:r w:rsidRPr="0074708B">
        <w:rPr>
          <w:noProof/>
        </w:rPr>
        <w:t>strengths</w:t>
      </w:r>
      <w:r w:rsidRPr="00A2772C">
        <w:t xml:space="preserve"> and identify areas of potential global competitive advantage.</w:t>
      </w:r>
      <w:r w:rsidRPr="00A2772C">
        <w:t xml:space="preserve"> </w:t>
      </w:r>
      <w:r w:rsidRPr="00A2772C">
        <w:t xml:space="preserve">Each Audit has a theme, and a </w:t>
      </w:r>
      <w:r w:rsidRPr="00A2772C">
        <w:t>number of these are of direct relevance for Lancashire, including:</w:t>
      </w:r>
    </w:p>
    <w:p w:rsidR="00026DEA" w:rsidRPr="00A2772C" w:rsidRDefault="00BE7ED1" w:rsidP="00026DEA">
      <w:pPr>
        <w:pStyle w:val="ListBullet"/>
      </w:pPr>
      <w:r w:rsidRPr="00A2772C">
        <w:t>Sheffi</w:t>
      </w:r>
      <w:r>
        <w:t xml:space="preserve">eld City Region and Lancashire – </w:t>
      </w:r>
      <w:r w:rsidRPr="00C366CC">
        <w:rPr>
          <w:noProof/>
        </w:rPr>
        <w:t>High</w:t>
      </w:r>
      <w:r>
        <w:rPr>
          <w:noProof/>
        </w:rPr>
        <w:t>-</w:t>
      </w:r>
      <w:r w:rsidRPr="00C366CC">
        <w:rPr>
          <w:noProof/>
        </w:rPr>
        <w:t>Value</w:t>
      </w:r>
      <w:r w:rsidRPr="00A2772C">
        <w:t xml:space="preserve"> Manufacturing (see Box 2)</w:t>
      </w:r>
      <w:r>
        <w:t>.</w:t>
      </w:r>
    </w:p>
    <w:p w:rsidR="00CF75D4" w:rsidRPr="00A2772C" w:rsidRDefault="00BE7ED1" w:rsidP="00CF75D4">
      <w:pPr>
        <w:pStyle w:val="ListBullet"/>
      </w:pPr>
      <w:r w:rsidRPr="00A2772C">
        <w:t xml:space="preserve">North West Nuclear Arc Consortium - New </w:t>
      </w:r>
      <w:r>
        <w:t>Nuclear</w:t>
      </w:r>
      <w:r w:rsidRPr="00A2772C">
        <w:t xml:space="preserve"> </w:t>
      </w:r>
      <w:r w:rsidRPr="00A2772C">
        <w:t>Technology</w:t>
      </w:r>
      <w:r w:rsidRPr="00A2772C">
        <w:t>;</w:t>
      </w:r>
    </w:p>
    <w:p w:rsidR="00CF75D4" w:rsidRPr="00A2772C" w:rsidRDefault="00BE7ED1" w:rsidP="00CF75D4">
      <w:pPr>
        <w:pStyle w:val="ListBullet"/>
      </w:pPr>
      <w:r w:rsidRPr="00A2772C">
        <w:t xml:space="preserve">North West Coastal Arc Eco-Innovation Partnership - Low </w:t>
      </w:r>
      <w:r w:rsidRPr="00A2772C">
        <w:t xml:space="preserve">Carbon </w:t>
      </w:r>
      <w:r>
        <w:t>Energy</w:t>
      </w:r>
      <w:r w:rsidRPr="00A2772C">
        <w:t xml:space="preserve"> and eco-innovation</w:t>
      </w:r>
      <w:r w:rsidRPr="00A2772C">
        <w:t>;</w:t>
      </w:r>
    </w:p>
    <w:p w:rsidR="00CF75D4" w:rsidRPr="00A2772C" w:rsidRDefault="00BE7ED1" w:rsidP="00CF75D4">
      <w:pPr>
        <w:pStyle w:val="ListBullet"/>
      </w:pPr>
      <w:r w:rsidRPr="00A2772C">
        <w:t xml:space="preserve">Northern Powerhouse Chemicals and Processing Science </w:t>
      </w:r>
      <w:r w:rsidRPr="00A2772C">
        <w:t>–</w:t>
      </w:r>
      <w:r w:rsidRPr="00A2772C">
        <w:t xml:space="preserve"> Chemicals</w:t>
      </w:r>
      <w:r w:rsidRPr="00A2772C">
        <w:t>;</w:t>
      </w:r>
      <w:r>
        <w:t xml:space="preserve"> and</w:t>
      </w:r>
    </w:p>
    <w:p w:rsidR="00CF75D4" w:rsidRPr="00A2772C" w:rsidRDefault="00BE7ED1" w:rsidP="00CF75D4">
      <w:pPr>
        <w:pStyle w:val="ListBullet"/>
      </w:pPr>
      <w:r>
        <w:t xml:space="preserve">A </w:t>
      </w:r>
      <w:r w:rsidRPr="00A2772C">
        <w:t xml:space="preserve">Northern Powerhouse in Health Research </w:t>
      </w:r>
      <w:r w:rsidRPr="00A2772C">
        <w:t>–</w:t>
      </w:r>
      <w:r w:rsidRPr="00A2772C">
        <w:t xml:space="preserve"> </w:t>
      </w:r>
      <w:r>
        <w:t>Precision Medicine and Health-Facing Bioinformatics.</w:t>
      </w:r>
    </w:p>
    <w:p w:rsidR="00063949" w:rsidRPr="00A2772C" w:rsidRDefault="00BE7ED1" w:rsidP="00063949">
      <w:pPr>
        <w:pStyle w:val="Caption"/>
      </w:pPr>
      <w:r w:rsidRPr="00A2772C">
        <w:t>Box 2: Science and Innovation Audit</w:t>
      </w:r>
    </w:p>
    <w:tbl>
      <w:tblPr>
        <w:tblStyle w:val="SDGTableDefault1"/>
        <w:tblW w:w="8789" w:type="dxa"/>
        <w:tblLook w:val="04A0" w:firstRow="1" w:lastRow="0" w:firstColumn="1" w:lastColumn="0" w:noHBand="0" w:noVBand="1"/>
      </w:tblPr>
      <w:tblGrid>
        <w:gridCol w:w="8789"/>
      </w:tblGrid>
      <w:tr w:rsidR="00351F99" w:rsidTr="0035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063949" w:rsidRPr="00A2772C" w:rsidRDefault="00BE7ED1" w:rsidP="00190022">
            <w:r w:rsidRPr="00A2772C">
              <w:rPr>
                <w:i/>
              </w:rPr>
              <w:t>Sheffield City Region and Lancashire: Science and Innovation Audit</w:t>
            </w: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rsidR="00063949" w:rsidRPr="00A2772C" w:rsidRDefault="00BE7ED1" w:rsidP="0074708B">
            <w:pPr>
              <w:pStyle w:val="ListBullet"/>
            </w:pPr>
            <w:r w:rsidRPr="00A2772C">
              <w:t xml:space="preserve">The </w:t>
            </w:r>
            <w:r w:rsidRPr="00A2772C">
              <w:rPr>
                <w:i/>
              </w:rPr>
              <w:t>Sheffield City Region and Lancashire: Science and Innovation Audit</w:t>
            </w:r>
            <w:r w:rsidRPr="00A2772C">
              <w:t xml:space="preserve"> will inform investment decisions to stimulate productivity and economic growth ac</w:t>
            </w:r>
            <w:r w:rsidRPr="00A2772C">
              <w:t xml:space="preserve">ross the Lancashire, Sheffield, and the wider Northern Powerhouse; driving the region’s contribution to the national industrial strategy and economic growth. </w:t>
            </w:r>
          </w:p>
          <w:p w:rsidR="00063949" w:rsidRPr="00A2772C" w:rsidRDefault="00BE7ED1" w:rsidP="0074708B">
            <w:pPr>
              <w:pStyle w:val="ListBullet"/>
            </w:pPr>
            <w:r w:rsidRPr="00A2772C">
              <w:t xml:space="preserve">This document was focussed on driving productivity growth through innovation in </w:t>
            </w:r>
            <w:r w:rsidRPr="00C366CC">
              <w:rPr>
                <w:noProof/>
              </w:rPr>
              <w:t>high</w:t>
            </w:r>
            <w:r>
              <w:rPr>
                <w:noProof/>
              </w:rPr>
              <w:t>-</w:t>
            </w:r>
            <w:r w:rsidRPr="00C366CC">
              <w:rPr>
                <w:noProof/>
              </w:rPr>
              <w:t>value</w:t>
            </w:r>
            <w:r w:rsidRPr="00A2772C">
              <w:t xml:space="preserve"> manufa</w:t>
            </w:r>
            <w:r w:rsidRPr="00A2772C">
              <w:t xml:space="preserve">cturing. The </w:t>
            </w:r>
            <w:r>
              <w:t>A</w:t>
            </w:r>
            <w:r w:rsidRPr="00A2772C">
              <w:t>udit proposes that the technological innovation in automation, robotics, data analytics, and new manufacturing techniques that drive Industry 4.0 are existing innovation strengths in the region. This, coupled with the successful translational</w:t>
            </w:r>
            <w:r w:rsidRPr="00A2772C">
              <w:t xml:space="preserve"> research institutions that can drive innovation and skills, can enable Lancashire to position itself as a centre of innovation in </w:t>
            </w:r>
            <w:r w:rsidRPr="00C366CC">
              <w:rPr>
                <w:noProof/>
              </w:rPr>
              <w:t>high</w:t>
            </w:r>
            <w:r>
              <w:rPr>
                <w:noProof/>
              </w:rPr>
              <w:t>-</w:t>
            </w:r>
            <w:r w:rsidRPr="00C366CC">
              <w:rPr>
                <w:noProof/>
              </w:rPr>
              <w:t>value</w:t>
            </w:r>
            <w:r w:rsidRPr="00A2772C">
              <w:t xml:space="preserve"> manufacturing and drive productivity growth across the County.</w:t>
            </w:r>
          </w:p>
        </w:tc>
      </w:tr>
    </w:tbl>
    <w:p w:rsidR="00865EF8" w:rsidRPr="00A2772C" w:rsidRDefault="00BE7ED1" w:rsidP="00865EF8">
      <w:pPr>
        <w:pStyle w:val="Source"/>
      </w:pPr>
      <w:r w:rsidRPr="00865EF8">
        <w:t>Source: Department for Business, Energy and Indust</w:t>
      </w:r>
      <w:r w:rsidRPr="00865EF8">
        <w:t>rial Strategy, Industrial Strategy: Building a Britain fit for the future</w:t>
      </w:r>
      <w:r>
        <w:t xml:space="preserve"> (2017)</w:t>
      </w:r>
    </w:p>
    <w:p w:rsidR="0038170B" w:rsidRPr="00A2772C" w:rsidRDefault="00BE7ED1" w:rsidP="00F17899">
      <w:pPr>
        <w:pStyle w:val="Heading3"/>
      </w:pPr>
      <w:r w:rsidRPr="00A2772C">
        <w:lastRenderedPageBreak/>
        <w:t>Regional Strategies</w:t>
      </w:r>
    </w:p>
    <w:p w:rsidR="00674F70" w:rsidRPr="00A2772C" w:rsidRDefault="00BE7ED1" w:rsidP="008F7424">
      <w:pPr>
        <w:pStyle w:val="NormalNumbered"/>
      </w:pPr>
      <w:r w:rsidRPr="00A2772C">
        <w:t>The Northern Powerhouse Partnership focusses on encouraging cities and counties to work together</w:t>
      </w:r>
      <w:r w:rsidRPr="00A2772C">
        <w:t xml:space="preserve"> across the North of England. The priorities for the Partnership are:</w:t>
      </w:r>
    </w:p>
    <w:p w:rsidR="006D1101" w:rsidRPr="00A2772C" w:rsidRDefault="00BE7ED1" w:rsidP="006D1101">
      <w:pPr>
        <w:pStyle w:val="ListBullet"/>
      </w:pPr>
      <w:r w:rsidRPr="00A2772C">
        <w:t xml:space="preserve">Infrastructure and Assets </w:t>
      </w:r>
      <w:r w:rsidRPr="00A2772C">
        <w:t>–</w:t>
      </w:r>
      <w:r w:rsidRPr="00A2772C">
        <w:t xml:space="preserve"> </w:t>
      </w:r>
      <w:r w:rsidRPr="00A2772C">
        <w:t>including transport, telecoms, housing, and new technology;</w:t>
      </w:r>
    </w:p>
    <w:p w:rsidR="006D1101" w:rsidRPr="00A2772C" w:rsidRDefault="00BE7ED1" w:rsidP="006D1101">
      <w:pPr>
        <w:pStyle w:val="ListBullet"/>
      </w:pPr>
      <w:r w:rsidRPr="00A2772C">
        <w:t xml:space="preserve">Education and Skills </w:t>
      </w:r>
      <w:r w:rsidRPr="00A2772C">
        <w:t>–</w:t>
      </w:r>
      <w:r w:rsidRPr="00A2772C">
        <w:t xml:space="preserve"> </w:t>
      </w:r>
      <w:r w:rsidRPr="00A2772C">
        <w:t>including basic skills through to higher level and technical skills that su</w:t>
      </w:r>
      <w:r w:rsidRPr="00A2772C">
        <w:t>pport innovation, and the HEI sector;</w:t>
      </w:r>
    </w:p>
    <w:p w:rsidR="006D1101" w:rsidRPr="00A2772C" w:rsidRDefault="00BE7ED1" w:rsidP="006D1101">
      <w:pPr>
        <w:pStyle w:val="ListBullet"/>
      </w:pPr>
      <w:r w:rsidRPr="00A2772C">
        <w:t xml:space="preserve">International Competitiveness </w:t>
      </w:r>
      <w:r w:rsidRPr="00A2772C">
        <w:t>–</w:t>
      </w:r>
      <w:r w:rsidRPr="00A2772C">
        <w:t xml:space="preserve"> </w:t>
      </w:r>
      <w:r w:rsidRPr="00A2772C">
        <w:t xml:space="preserve">focussing on fostering an </w:t>
      </w:r>
      <w:r w:rsidRPr="00A2772C">
        <w:t>enterprise culture, innovation, tra</w:t>
      </w:r>
      <w:r w:rsidRPr="00A2772C">
        <w:t>de and international investment; and</w:t>
      </w:r>
    </w:p>
    <w:p w:rsidR="006350CD" w:rsidRPr="00A2772C" w:rsidRDefault="00BE7ED1" w:rsidP="006350CD">
      <w:pPr>
        <w:pStyle w:val="ListBullet"/>
      </w:pPr>
      <w:r w:rsidRPr="00A2772C">
        <w:t>Leadership and</w:t>
      </w:r>
      <w:r w:rsidRPr="00A2772C">
        <w:t xml:space="preserve"> Learning </w:t>
      </w:r>
      <w:r>
        <w:t>–</w:t>
      </w:r>
      <w:r w:rsidRPr="00A2772C">
        <w:t xml:space="preserve"> leadership within companies, promoting </w:t>
      </w:r>
      <w:r w:rsidRPr="00A2772C">
        <w:t>best pract</w:t>
      </w:r>
      <w:r w:rsidRPr="00A2772C">
        <w:t xml:space="preserve">ice to </w:t>
      </w:r>
      <w:r w:rsidRPr="0074708B">
        <w:rPr>
          <w:noProof/>
        </w:rPr>
        <w:t>civil</w:t>
      </w:r>
      <w:r w:rsidRPr="00A2772C">
        <w:t xml:space="preserve"> leaders and Mayors.</w:t>
      </w:r>
    </w:p>
    <w:p w:rsidR="00674F70" w:rsidRPr="00A2772C" w:rsidRDefault="00BE7ED1" w:rsidP="006350CD">
      <w:pPr>
        <w:pStyle w:val="NormalNumbered"/>
      </w:pPr>
      <w:r w:rsidRPr="00A2772C">
        <w:t xml:space="preserve">Advanced Manufacturing and </w:t>
      </w:r>
      <w:r w:rsidRPr="00A2772C">
        <w:t xml:space="preserve">Materials, Energy, Digital, and Health Innovation were identified as the four </w:t>
      </w:r>
      <w:r>
        <w:t>‘</w:t>
      </w:r>
      <w:r w:rsidRPr="00A2772C">
        <w:t>Prime Capabilities</w:t>
      </w:r>
      <w:r>
        <w:t>’</w:t>
      </w:r>
      <w:r w:rsidRPr="00A2772C">
        <w:t xml:space="preserve"> </w:t>
      </w:r>
      <w:r w:rsidRPr="00A2772C">
        <w:t xml:space="preserve">of the North by the </w:t>
      </w:r>
      <w:r w:rsidRPr="00A2772C">
        <w:rPr>
          <w:i/>
        </w:rPr>
        <w:t>Northern Powerhouse Independent Economic Review (NPIER)</w:t>
      </w:r>
      <w:r w:rsidRPr="00A2772C">
        <w:t xml:space="preserve">. These are the economic </w:t>
      </w:r>
      <w:r>
        <w:t>agglomera</w:t>
      </w:r>
      <w:r>
        <w:t xml:space="preserve">tions in which </w:t>
      </w:r>
      <w:r w:rsidRPr="00A2772C">
        <w:t xml:space="preserve">the North of England has the greatest </w:t>
      </w:r>
      <w:r>
        <w:t xml:space="preserve">potential </w:t>
      </w:r>
      <w:r w:rsidRPr="00A2772C">
        <w:t>global competitive advantage</w:t>
      </w:r>
      <w:r>
        <w:t xml:space="preserve">. </w:t>
      </w:r>
      <w:r w:rsidRPr="00A2772C">
        <w:t xml:space="preserve">These are all </w:t>
      </w:r>
      <w:r>
        <w:t xml:space="preserve">areas </w:t>
      </w:r>
      <w:r w:rsidRPr="00A2772C">
        <w:t xml:space="preserve">in which Lancashire has significant existing and emerging strengths </w:t>
      </w:r>
      <w:r>
        <w:t>both in industry and academia, and as such the County is well equipped to p</w:t>
      </w:r>
      <w:r>
        <w:t xml:space="preserve">lay a </w:t>
      </w:r>
      <w:r w:rsidRPr="00A2772C">
        <w:t>leading role in stre</w:t>
      </w:r>
      <w:r w:rsidRPr="00A2772C">
        <w:t>ngthen</w:t>
      </w:r>
      <w:r>
        <w:t xml:space="preserve">ing </w:t>
      </w:r>
      <w:r w:rsidRPr="00A2772C">
        <w:t>and expand</w:t>
      </w:r>
      <w:r>
        <w:t xml:space="preserve">ing </w:t>
      </w:r>
      <w:r w:rsidRPr="00A2772C">
        <w:t>the North’s capabilities in these areas.</w:t>
      </w:r>
    </w:p>
    <w:p w:rsidR="0038170B" w:rsidRPr="00A2772C" w:rsidRDefault="00BE7ED1" w:rsidP="0038170B">
      <w:pPr>
        <w:pStyle w:val="NormalNumbered"/>
      </w:pPr>
      <w:r w:rsidRPr="00A2772C">
        <w:t xml:space="preserve">The 11 LEPs in the North of England </w:t>
      </w:r>
      <w:r w:rsidRPr="00C366CC">
        <w:rPr>
          <w:noProof/>
        </w:rPr>
        <w:t>are</w:t>
      </w:r>
      <w:r w:rsidRPr="00A2772C">
        <w:t xml:space="preserve"> looking to develop a </w:t>
      </w:r>
      <w:r>
        <w:t xml:space="preserve">Northern </w:t>
      </w:r>
      <w:r w:rsidRPr="00A2772C">
        <w:t xml:space="preserve">approach to innovation – </w:t>
      </w:r>
      <w:r w:rsidRPr="0074708B">
        <w:rPr>
          <w:i/>
        </w:rPr>
        <w:t>‘Innovat</w:t>
      </w:r>
      <w:r w:rsidRPr="0074708B">
        <w:rPr>
          <w:i/>
        </w:rPr>
        <w:t>ion</w:t>
      </w:r>
      <w:r w:rsidRPr="0074708B">
        <w:rPr>
          <w:i/>
        </w:rPr>
        <w:t xml:space="preserve"> North’</w:t>
      </w:r>
      <w:r w:rsidRPr="00A2772C">
        <w:t xml:space="preserve">. </w:t>
      </w:r>
      <w:r>
        <w:t xml:space="preserve">Building on the recommendation in the NPIER that </w:t>
      </w:r>
      <w:r>
        <w:t>innovation should be treated as a pan-Northern agenda, t</w:t>
      </w:r>
      <w:r w:rsidRPr="00A2772C">
        <w:t xml:space="preserve">his is a </w:t>
      </w:r>
      <w:r>
        <w:t xml:space="preserve">fresh </w:t>
      </w:r>
      <w:r w:rsidRPr="00A2772C">
        <w:t>attempt to work collaboratively at scale to harness t</w:t>
      </w:r>
      <w:r w:rsidRPr="00A2772C">
        <w:t>he</w:t>
      </w:r>
      <w:r w:rsidRPr="00A2772C">
        <w:t xml:space="preserve"> power and benefits of innovation. The inten</w:t>
      </w:r>
      <w:r>
        <w:t xml:space="preserve">tion is </w:t>
      </w:r>
      <w:r w:rsidRPr="00A2772C">
        <w:t xml:space="preserve">to do this by maximising the </w:t>
      </w:r>
      <w:r>
        <w:t xml:space="preserve">industrial and commercial </w:t>
      </w:r>
      <w:r w:rsidRPr="00A2772C">
        <w:t>application of the Nort</w:t>
      </w:r>
      <w:r w:rsidRPr="00A2772C">
        <w:t xml:space="preserve">h’s significant assets and capabilities. </w:t>
      </w:r>
      <w:r>
        <w:t>Again, Lancashire is very well equipped to play a frontline role in shaping and driving the emerging Innovation North agenda</w:t>
      </w:r>
      <w:r w:rsidRPr="00A2772C">
        <w:t>.</w:t>
      </w:r>
    </w:p>
    <w:p w:rsidR="0038170B" w:rsidRPr="00A2772C" w:rsidRDefault="00BE7ED1" w:rsidP="0038170B">
      <w:pPr>
        <w:pStyle w:val="Heading3"/>
      </w:pPr>
      <w:r w:rsidRPr="00A2772C">
        <w:t>Local Strategies</w:t>
      </w:r>
    </w:p>
    <w:p w:rsidR="00FD1FBC" w:rsidRPr="00A2772C" w:rsidRDefault="00BE7ED1" w:rsidP="00FD1FBC">
      <w:pPr>
        <w:pStyle w:val="NormalNumbered"/>
      </w:pPr>
      <w:r w:rsidRPr="00A2772C">
        <w:t xml:space="preserve">Innovation excellence is one of the key objectives of </w:t>
      </w:r>
      <w:r w:rsidRPr="00A2772C">
        <w:rPr>
          <w:i/>
        </w:rPr>
        <w:t>Lancashire’s Strat</w:t>
      </w:r>
      <w:r w:rsidRPr="00A2772C">
        <w:rPr>
          <w:i/>
        </w:rPr>
        <w:t>egic Economic Plan (SEP) 2015-25</w:t>
      </w:r>
      <w:r>
        <w:t xml:space="preserve">. </w:t>
      </w:r>
      <w:r w:rsidRPr="00A2772C">
        <w:t>To support the delivery of this objective</w:t>
      </w:r>
      <w:r>
        <w:t>,</w:t>
      </w:r>
      <w:r w:rsidRPr="00A2772C">
        <w:t xml:space="preserve"> the Lancashire Growth Deal established a £270m investment framework. </w:t>
      </w:r>
      <w:r w:rsidRPr="00A2772C">
        <w:t xml:space="preserve">Examples of initiatives receiving funding as part of this framework, and </w:t>
      </w:r>
      <w:r>
        <w:t xml:space="preserve">which </w:t>
      </w:r>
      <w:r w:rsidRPr="00A2772C">
        <w:t>contribute</w:t>
      </w:r>
      <w:r w:rsidRPr="00A2772C">
        <w:t xml:space="preserve"> to delivering the in</w:t>
      </w:r>
      <w:r w:rsidRPr="00A2772C">
        <w:t>novation excellence objective</w:t>
      </w:r>
      <w:r w:rsidRPr="00A2772C">
        <w:t>, include</w:t>
      </w:r>
      <w:r w:rsidRPr="00A2772C">
        <w:t>:</w:t>
      </w:r>
    </w:p>
    <w:p w:rsidR="00C608B7" w:rsidRPr="00A2772C" w:rsidRDefault="00BE7ED1" w:rsidP="00FD1FBC">
      <w:pPr>
        <w:pStyle w:val="ListBullet"/>
      </w:pPr>
      <w:r>
        <w:t xml:space="preserve">The </w:t>
      </w:r>
      <w:r w:rsidRPr="00A2772C">
        <w:t>Centre for Quantum Technology Innovation at Lancaster;</w:t>
      </w:r>
    </w:p>
    <w:p w:rsidR="00C608B7" w:rsidRPr="00A2772C" w:rsidRDefault="00BE7ED1" w:rsidP="00FD1FBC">
      <w:pPr>
        <w:pStyle w:val="ListBullet"/>
      </w:pPr>
      <w:r>
        <w:t xml:space="preserve">The </w:t>
      </w:r>
      <w:r w:rsidRPr="00A2772C">
        <w:t>Cyber Security Innovation Centre at Lancaster;</w:t>
      </w:r>
    </w:p>
    <w:p w:rsidR="00C608B7" w:rsidRPr="00A2772C" w:rsidRDefault="00BE7ED1" w:rsidP="00FD1FBC">
      <w:pPr>
        <w:pStyle w:val="ListBullet"/>
      </w:pPr>
      <w:r>
        <w:t xml:space="preserve">The </w:t>
      </w:r>
      <w:r w:rsidRPr="00A2772C">
        <w:t>Engineering Innovation Centre at Preston</w:t>
      </w:r>
      <w:r>
        <w:t>; and</w:t>
      </w:r>
    </w:p>
    <w:p w:rsidR="00C608B7" w:rsidRPr="00A2772C" w:rsidRDefault="00BE7ED1" w:rsidP="00FD1FBC">
      <w:pPr>
        <w:pStyle w:val="ListBullet"/>
      </w:pPr>
      <w:r w:rsidRPr="00A2772C">
        <w:t>Lancaster</w:t>
      </w:r>
      <w:r>
        <w:t>’s</w:t>
      </w:r>
      <w:r w:rsidRPr="00A2772C">
        <w:t xml:space="preserve"> Health Innovation Campus</w:t>
      </w:r>
      <w:r>
        <w:t>.</w:t>
      </w:r>
    </w:p>
    <w:p w:rsidR="00FD1FBC" w:rsidRPr="00A2772C" w:rsidRDefault="00BE7ED1" w:rsidP="00FD1FBC">
      <w:pPr>
        <w:pStyle w:val="NormalNumbered"/>
      </w:pPr>
      <w:r w:rsidRPr="00A2772C">
        <w:t>These initiatives</w:t>
      </w:r>
      <w:r w:rsidRPr="00A2772C">
        <w:t>,</w:t>
      </w:r>
      <w:r w:rsidRPr="00A2772C">
        <w:t xml:space="preserve"> alongside a multitude of other assets and </w:t>
      </w:r>
      <w:r w:rsidRPr="00C366CC">
        <w:rPr>
          <w:noProof/>
        </w:rPr>
        <w:t>actions</w:t>
      </w:r>
      <w:r>
        <w:rPr>
          <w:noProof/>
        </w:rPr>
        <w:t>,</w:t>
      </w:r>
      <w:r w:rsidRPr="00A2772C">
        <w:t xml:space="preserve"> display the commitment of local partners in key growth sectors to collaboratively deliver a step-change in innovation in Lancashire, and the sectoral and </w:t>
      </w:r>
      <w:r>
        <w:t>Smart Specialisation</w:t>
      </w:r>
      <w:r w:rsidRPr="00A2772C">
        <w:t xml:space="preserve"> strengths on which this plan </w:t>
      </w:r>
      <w:r w:rsidRPr="00A2772C">
        <w:t>seeks to build</w:t>
      </w:r>
      <w:r w:rsidRPr="00A2772C">
        <w:t>.</w:t>
      </w:r>
      <w:r>
        <w:t xml:space="preserve"> </w:t>
      </w:r>
      <w:r>
        <w:t>A non-exhaustive list of assets and facilities to support innovation in Lancashire is set out at Appendix A.</w:t>
      </w:r>
    </w:p>
    <w:p w:rsidR="00DA0E12" w:rsidRPr="00A2772C" w:rsidRDefault="00BE7ED1" w:rsidP="00A66B82">
      <w:pPr>
        <w:pStyle w:val="NormalNumbered"/>
      </w:pPr>
      <w:r w:rsidRPr="00A2772C">
        <w:t xml:space="preserve">The </w:t>
      </w:r>
      <w:r w:rsidRPr="00A2772C">
        <w:rPr>
          <w:i/>
        </w:rPr>
        <w:t>Lancashire Skills and Employment Strategic Framework</w:t>
      </w:r>
      <w:r w:rsidRPr="00A2772C">
        <w:t xml:space="preserve"> provides the</w:t>
      </w:r>
      <w:r w:rsidRPr="00A2772C">
        <w:t xml:space="preserve"> template</w:t>
      </w:r>
      <w:r w:rsidRPr="00A2772C">
        <w:t xml:space="preserve"> for public investment in skills and employment activities in the </w:t>
      </w:r>
      <w:r w:rsidRPr="00C366CC">
        <w:rPr>
          <w:noProof/>
        </w:rPr>
        <w:t>County</w:t>
      </w:r>
      <w:r w:rsidRPr="00A2772C">
        <w:t xml:space="preserve"> and outlines the direction skills and employment providers need to take to best address need</w:t>
      </w:r>
      <w:r>
        <w:t xml:space="preserve">. </w:t>
      </w:r>
      <w:r w:rsidRPr="00A2772C">
        <w:t>It seeks to re-establish Lancashire as an economic powerhouse and a national centre of ex</w:t>
      </w:r>
      <w:r w:rsidRPr="00A2772C">
        <w:t xml:space="preserve">cellence in </w:t>
      </w:r>
      <w:r>
        <w:t xml:space="preserve">Advanced </w:t>
      </w:r>
      <w:r>
        <w:lastRenderedPageBreak/>
        <w:t>Manufact</w:t>
      </w:r>
      <w:r w:rsidRPr="00A2772C">
        <w:t xml:space="preserve">uring by maximising its clear competitive strengths and capabilities in the </w:t>
      </w:r>
      <w:r>
        <w:t>Aerospace</w:t>
      </w:r>
      <w:r w:rsidRPr="00A2772C">
        <w:t xml:space="preserve">, </w:t>
      </w:r>
      <w:r>
        <w:t>Automot</w:t>
      </w:r>
      <w:r w:rsidRPr="00A2772C">
        <w:t xml:space="preserve">ive, </w:t>
      </w:r>
      <w:r>
        <w:t>Energy</w:t>
      </w:r>
      <w:r w:rsidRPr="00A2772C">
        <w:t xml:space="preserve"> and health </w:t>
      </w:r>
      <w:r w:rsidRPr="00C366CC">
        <w:rPr>
          <w:noProof/>
        </w:rPr>
        <w:t>science</w:t>
      </w:r>
      <w:r>
        <w:rPr>
          <w:noProof/>
        </w:rPr>
        <w:t>-</w:t>
      </w:r>
      <w:r w:rsidRPr="00C366CC">
        <w:rPr>
          <w:noProof/>
        </w:rPr>
        <w:t>related</w:t>
      </w:r>
      <w:r w:rsidRPr="00A2772C">
        <w:t xml:space="preserve"> sectors.</w:t>
      </w:r>
      <w:r w:rsidRPr="00A2772C">
        <w:t xml:space="preserve"> </w:t>
      </w:r>
    </w:p>
    <w:p w:rsidR="00FD1FBC" w:rsidRPr="00A2772C" w:rsidRDefault="00BE7ED1" w:rsidP="00A66B82">
      <w:pPr>
        <w:pStyle w:val="NormalNumbered"/>
      </w:pPr>
      <w:r>
        <w:t xml:space="preserve">Driving </w:t>
      </w:r>
      <w:r>
        <w:t>Lancashire</w:t>
      </w:r>
      <w:r>
        <w:t xml:space="preserve"> forward as a national leader in the implementation of reforms to </w:t>
      </w:r>
      <w:r>
        <w:t xml:space="preserve">Education in England, the </w:t>
      </w:r>
      <w:r>
        <w:rPr>
          <w:noProof/>
        </w:rPr>
        <w:t>r</w:t>
      </w:r>
      <w:r>
        <w:rPr>
          <w:noProof/>
        </w:rPr>
        <w:t>ecently developed</w:t>
      </w:r>
      <w:r w:rsidRPr="00A2772C">
        <w:t xml:space="preserve"> </w:t>
      </w:r>
      <w:r w:rsidRPr="00A2772C">
        <w:rPr>
          <w:i/>
        </w:rPr>
        <w:t>Lancashire Technical Education Vision</w:t>
      </w:r>
      <w:r w:rsidRPr="00A2772C">
        <w:t xml:space="preserve"> </w:t>
      </w:r>
      <w:r>
        <w:t xml:space="preserve">is </w:t>
      </w:r>
      <w:r w:rsidRPr="00A2772C">
        <w:t xml:space="preserve">a framework for a dynamic and high performing </w:t>
      </w:r>
      <w:r>
        <w:t xml:space="preserve">post-16 </w:t>
      </w:r>
      <w:r w:rsidRPr="00A2772C">
        <w:t>technical education system in the County</w:t>
      </w:r>
      <w:r>
        <w:t>.</w:t>
      </w:r>
      <w:r>
        <w:t xml:space="preserve"> </w:t>
      </w:r>
      <w:r>
        <w:t xml:space="preserve">With objectives and outcomes linked directly to the </w:t>
      </w:r>
      <w:r>
        <w:t xml:space="preserve">Skills and Employment </w:t>
      </w:r>
      <w:r>
        <w:t>Strategic Framework, the</w:t>
      </w:r>
      <w:r>
        <w:t xml:space="preserve"> Vision sets out </w:t>
      </w:r>
      <w:r>
        <w:t>an agenda</w:t>
      </w:r>
      <w:r>
        <w:t xml:space="preserve"> </w:t>
      </w:r>
      <w:r>
        <w:t>for</w:t>
      </w:r>
      <w:r>
        <w:t xml:space="preserve"> </w:t>
      </w:r>
      <w:r>
        <w:t>trans</w:t>
      </w:r>
      <w:r>
        <w:t>f</w:t>
      </w:r>
      <w:r>
        <w:t xml:space="preserve">ormative change </w:t>
      </w:r>
      <w:r>
        <w:t>in</w:t>
      </w:r>
      <w:r>
        <w:t xml:space="preserve"> the delivery of </w:t>
      </w:r>
      <w:r>
        <w:t>Technical Education</w:t>
      </w:r>
      <w:r>
        <w:t xml:space="preserve"> </w:t>
      </w:r>
      <w:r>
        <w:t xml:space="preserve">across </w:t>
      </w:r>
      <w:r>
        <w:t>the County</w:t>
      </w:r>
      <w:r>
        <w:t xml:space="preserve">. </w:t>
      </w:r>
      <w:r>
        <w:t xml:space="preserve">At its core, the Vision will </w:t>
      </w:r>
      <w:r>
        <w:t xml:space="preserve">drive </w:t>
      </w:r>
      <w:r>
        <w:t>new formats of training and learning</w:t>
      </w:r>
      <w:r>
        <w:t xml:space="preserve">, which are aligned </w:t>
      </w:r>
      <w:r>
        <w:t xml:space="preserve">more centrally </w:t>
      </w:r>
      <w:r>
        <w:t xml:space="preserve">to </w:t>
      </w:r>
      <w:r>
        <w:t xml:space="preserve">employer demand, </w:t>
      </w:r>
      <w:r>
        <w:t xml:space="preserve">so </w:t>
      </w:r>
      <w:r w:rsidRPr="00A2772C">
        <w:t>rais</w:t>
      </w:r>
      <w:r>
        <w:t xml:space="preserve">ing </w:t>
      </w:r>
      <w:r w:rsidRPr="00A2772C">
        <w:t>skills and</w:t>
      </w:r>
      <w:r w:rsidRPr="00A2772C">
        <w:t xml:space="preserve"> develop</w:t>
      </w:r>
      <w:r>
        <w:t xml:space="preserve">ing </w:t>
      </w:r>
      <w:r w:rsidRPr="00A2772C">
        <w:t>the talent pool to support key existing and emerging sectors.</w:t>
      </w:r>
    </w:p>
    <w:p w:rsidR="00FD1FBC" w:rsidRPr="00A2772C" w:rsidRDefault="00BE7ED1" w:rsidP="00FD1FBC">
      <w:pPr>
        <w:pStyle w:val="NormalNumbered"/>
      </w:pPr>
      <w:r w:rsidRPr="00A2772C">
        <w:t>This Innovation Plan builds on and complements these existing strategic plans whilst responding to the opportunities and challenges emerging fro</w:t>
      </w:r>
      <w:r w:rsidRPr="00A2772C">
        <w:t>m the evidence base and stakeholder consultations.</w:t>
      </w:r>
    </w:p>
    <w:p w:rsidR="0038170B" w:rsidRPr="00A2772C" w:rsidRDefault="00BE7ED1" w:rsidP="0074708B">
      <w:pPr>
        <w:pStyle w:val="Heading1"/>
        <w:framePr w:wrap="notBeside"/>
      </w:pPr>
      <w:bookmarkStart w:id="75" w:name="_Toc508803083"/>
      <w:r w:rsidRPr="00A2772C">
        <w:lastRenderedPageBreak/>
        <w:t>Lancashire’s</w:t>
      </w:r>
      <w:r w:rsidRPr="00A2772C">
        <w:t xml:space="preserve"> Economic and </w:t>
      </w:r>
      <w:r w:rsidRPr="00A2772C">
        <w:t>Innovation</w:t>
      </w:r>
      <w:r w:rsidRPr="00A2772C">
        <w:t xml:space="preserve"> </w:t>
      </w:r>
      <w:r w:rsidRPr="00A2772C">
        <w:t>Landscape</w:t>
      </w:r>
      <w:bookmarkEnd w:id="75"/>
    </w:p>
    <w:p w:rsidR="00B52F22" w:rsidRPr="00A2772C" w:rsidRDefault="00BE7ED1" w:rsidP="00275903">
      <w:pPr>
        <w:pStyle w:val="PullQuote"/>
      </w:pPr>
      <w:bookmarkStart w:id="76" w:name="_Toc502674262"/>
      <w:bookmarkStart w:id="77" w:name="_Toc502734605"/>
      <w:bookmarkStart w:id="78" w:name="_Toc502744318"/>
      <w:bookmarkStart w:id="79" w:name="_Toc504469779"/>
      <w:bookmarkStart w:id="80" w:name="_Toc504490219"/>
      <w:r w:rsidRPr="00A2772C">
        <w:t xml:space="preserve">This </w:t>
      </w:r>
      <w:r w:rsidRPr="00A2772C">
        <w:t xml:space="preserve">Section </w:t>
      </w:r>
      <w:r w:rsidRPr="00A2772C">
        <w:t>present</w:t>
      </w:r>
      <w:r w:rsidRPr="00A2772C">
        <w:t>s</w:t>
      </w:r>
      <w:r w:rsidRPr="00A2772C">
        <w:t xml:space="preserve"> the key trends </w:t>
      </w:r>
      <w:r w:rsidRPr="00A2772C">
        <w:t xml:space="preserve">and forecasts </w:t>
      </w:r>
      <w:r w:rsidRPr="00A2772C">
        <w:t xml:space="preserve">to show how Lancashire is </w:t>
      </w:r>
      <w:r w:rsidRPr="0074708B">
        <w:rPr>
          <w:noProof/>
        </w:rPr>
        <w:t>performing</w:t>
      </w:r>
      <w:r w:rsidRPr="00A2772C">
        <w:t xml:space="preserve"> and is likely to perform,</w:t>
      </w:r>
      <w:r w:rsidRPr="00A2772C">
        <w:t xml:space="preserve"> as an economy and as an innovation ecosystem</w:t>
      </w:r>
      <w:r w:rsidRPr="00A2772C">
        <w:t>.</w:t>
      </w:r>
      <w:bookmarkEnd w:id="76"/>
      <w:bookmarkEnd w:id="77"/>
      <w:bookmarkEnd w:id="78"/>
      <w:bookmarkEnd w:id="79"/>
      <w:bookmarkEnd w:id="80"/>
    </w:p>
    <w:p w:rsidR="00414763" w:rsidRPr="00A2772C" w:rsidRDefault="00BE7ED1" w:rsidP="0061543B">
      <w:pPr>
        <w:pStyle w:val="Heading3"/>
      </w:pPr>
      <w:r w:rsidRPr="00A2772C">
        <w:t>The Lancashire Economy</w:t>
      </w:r>
      <w:r>
        <w:rPr>
          <w:rStyle w:val="FootnoteReference"/>
        </w:rPr>
        <w:footnoteReference w:id="2"/>
      </w:r>
    </w:p>
    <w:p w:rsidR="00062722" w:rsidRPr="00A2772C" w:rsidRDefault="00BE7ED1" w:rsidP="00852578">
      <w:pPr>
        <w:pStyle w:val="NormalNumbered"/>
      </w:pPr>
      <w:r w:rsidRPr="00A2772C">
        <w:t>With a resident population of just under 1.5m, supporting around 630,00</w:t>
      </w:r>
      <w:r w:rsidRPr="00A2772C">
        <w:t>0 jobs, and containing around 52</w:t>
      </w:r>
      <w:r w:rsidRPr="00A2772C">
        <w:t>,000 businesses, Lancashire is a key component of the North West’s economy. Lancashire contains globally significant firms in s</w:t>
      </w:r>
      <w:r w:rsidRPr="00A2772C">
        <w:t xml:space="preserve">ectors such as </w:t>
      </w:r>
      <w:r>
        <w:t>Aerospace</w:t>
      </w:r>
      <w:r w:rsidRPr="00A2772C">
        <w:t xml:space="preserve"> and </w:t>
      </w:r>
      <w:r>
        <w:t>Nuclear</w:t>
      </w:r>
      <w:r w:rsidRPr="00A2772C">
        <w:t>, including BAE Systems, Rolls Royce, and Westinghouse</w:t>
      </w:r>
      <w:r w:rsidRPr="00A2772C">
        <w:t xml:space="preserve"> as well as a significant SME base</w:t>
      </w:r>
      <w:r w:rsidRPr="00A2772C">
        <w:t xml:space="preserve"> (98% of businesses in Lancashire employ fewer than 50 people)</w:t>
      </w:r>
      <w:r w:rsidRPr="00A2772C">
        <w:t xml:space="preserve">. It also benefits from four universities in the area, providing a </w:t>
      </w:r>
      <w:r w:rsidRPr="00A2772C">
        <w:t>valuable mix of research-oriented and applied innovation opportunities.</w:t>
      </w:r>
      <w:r w:rsidRPr="00A2772C">
        <w:t xml:space="preserve"> </w:t>
      </w:r>
      <w:r w:rsidRPr="00A2772C">
        <w:t xml:space="preserve">Lancashire experienced a decline in employment between 2007 and </w:t>
      </w:r>
      <w:r w:rsidRPr="00C366CC">
        <w:rPr>
          <w:noProof/>
        </w:rPr>
        <w:t>2012</w:t>
      </w:r>
      <w:r w:rsidRPr="00A2772C">
        <w:t xml:space="preserve"> and has since reversed that trend, with employment now above pre-2007 levels. This is a similar trend to the North </w:t>
      </w:r>
      <w:r w:rsidRPr="00A2772C">
        <w:t xml:space="preserve">West and </w:t>
      </w:r>
      <w:r w:rsidRPr="00C366CC">
        <w:rPr>
          <w:noProof/>
        </w:rPr>
        <w:t>UK</w:t>
      </w:r>
      <w:r>
        <w:rPr>
          <w:noProof/>
        </w:rPr>
        <w:t>,</w:t>
      </w:r>
      <w:r w:rsidRPr="00A2772C">
        <w:t xml:space="preserve"> </w:t>
      </w:r>
      <w:r w:rsidRPr="00A2772C">
        <w:t>but</w:t>
      </w:r>
      <w:r w:rsidRPr="00A2772C">
        <w:t xml:space="preserve"> Lancashire’s employment growth is slower than both.</w:t>
      </w:r>
    </w:p>
    <w:p w:rsidR="001A406E" w:rsidRPr="00A2772C" w:rsidRDefault="00BE7ED1" w:rsidP="00062722">
      <w:pPr>
        <w:pStyle w:val="NormalNumbered"/>
      </w:pPr>
      <w:r w:rsidRPr="00A2772C">
        <w:t xml:space="preserve">Despite </w:t>
      </w:r>
      <w:r w:rsidRPr="00A2772C">
        <w:t>pockets of high performance and productivity,</w:t>
      </w:r>
      <w:r w:rsidRPr="00A2772C">
        <w:t xml:space="preserve"> Lancashire’s economy</w:t>
      </w:r>
      <w:r w:rsidRPr="00A2772C">
        <w:t xml:space="preserve">, </w:t>
      </w:r>
      <w:r>
        <w:t xml:space="preserve">in common with much of </w:t>
      </w:r>
      <w:r w:rsidRPr="00A2772C">
        <w:t xml:space="preserve">the </w:t>
      </w:r>
      <w:r w:rsidRPr="00A2772C">
        <w:t>N</w:t>
      </w:r>
      <w:r w:rsidRPr="00A2772C">
        <w:t>orth of England</w:t>
      </w:r>
      <w:r w:rsidRPr="00A2772C">
        <w:t>,</w:t>
      </w:r>
      <w:r w:rsidRPr="00A2772C">
        <w:t xml:space="preserve"> is underperforming</w:t>
      </w:r>
      <w:r w:rsidRPr="00A2772C">
        <w:t xml:space="preserve">, and </w:t>
      </w:r>
      <w:r w:rsidRPr="00A2772C">
        <w:t>not reaching</w:t>
      </w:r>
      <w:r w:rsidRPr="00A2772C">
        <w:t xml:space="preserve"> its full potential. The prima</w:t>
      </w:r>
      <w:r w:rsidRPr="00A2772C">
        <w:t>ry indicator to measure an economy’s overall performance is Gross Value Added (GVA). Lancashire generated a GVA figure of £29</w:t>
      </w:r>
      <w:r>
        <w:t xml:space="preserve"> </w:t>
      </w:r>
      <w:r>
        <w:t>billion</w:t>
      </w:r>
      <w:r>
        <w:t xml:space="preserve"> </w:t>
      </w:r>
      <w:r w:rsidRPr="00A2772C">
        <w:t xml:space="preserve">in 2015, 18.5% of the North West’s total. </w:t>
      </w:r>
      <w:r w:rsidRPr="00A2772C">
        <w:t>This compares with 21% of the North West’s employment, 20% of North West’s total</w:t>
      </w:r>
      <w:r w:rsidRPr="00A2772C">
        <w:t xml:space="preserve"> business base, and 20% of the North West’s working age population.</w:t>
      </w:r>
      <w:r w:rsidRPr="00A2772C">
        <w:t xml:space="preserve"> As we have seen, the spread of productivity across Lancashire varies greatly between areas within the County. The average for the County can mask areas of high value and high productivity </w:t>
      </w:r>
      <w:r w:rsidRPr="00A2772C">
        <w:t>businesses</w:t>
      </w:r>
      <w:r>
        <w:t xml:space="preserve"> (such as those at the top-end of the Aerospace supply chain)</w:t>
      </w:r>
      <w:r w:rsidRPr="00A2772C">
        <w:t>.</w:t>
      </w:r>
    </w:p>
    <w:p w:rsidR="00062722" w:rsidRPr="00A2772C" w:rsidRDefault="00BE7ED1" w:rsidP="00062722">
      <w:pPr>
        <w:pStyle w:val="NormalNumbered"/>
      </w:pPr>
      <w:r>
        <w:t xml:space="preserve">As </w:t>
      </w:r>
      <w:r w:rsidRPr="00A2772C">
        <w:rPr>
          <w:highlight w:val="yellow"/>
        </w:rPr>
        <w:fldChar w:fldCharType="begin"/>
      </w:r>
      <w:r w:rsidRPr="00A2772C">
        <w:instrText xml:space="preserve"> REF _Ref502736758 \h </w:instrText>
      </w:r>
      <w:r w:rsidRPr="00A2772C">
        <w:rPr>
          <w:highlight w:val="yellow"/>
        </w:rPr>
      </w:r>
      <w:r w:rsidRPr="00A2772C">
        <w:rPr>
          <w:highlight w:val="yellow"/>
        </w:rPr>
        <w:fldChar w:fldCharType="separate"/>
      </w:r>
      <w:r w:rsidRPr="00A2772C">
        <w:t xml:space="preserve">Figure </w:t>
      </w:r>
      <w:r>
        <w:rPr>
          <w:noProof/>
        </w:rPr>
        <w:t>1</w:t>
      </w:r>
      <w:r w:rsidRPr="00A2772C">
        <w:fldChar w:fldCharType="end"/>
      </w:r>
      <w:r>
        <w:t xml:space="preserve"> indicates, a</w:t>
      </w:r>
      <w:r w:rsidRPr="00A2772C">
        <w:t xml:space="preserve">lthough there has been consistent growth in GVA in Lancashire, it is </w:t>
      </w:r>
      <w:r w:rsidRPr="00A2772C">
        <w:t>slower than the North West and UK, and that productivity gap has widened in recent years. As shown in:</w:t>
      </w:r>
    </w:p>
    <w:p w:rsidR="00A4292E" w:rsidRPr="00A2772C" w:rsidRDefault="00BE7ED1" w:rsidP="00A4292E">
      <w:pPr>
        <w:pStyle w:val="Caption"/>
      </w:pPr>
      <w:bookmarkStart w:id="81" w:name="_Ref502736758"/>
      <w:bookmarkStart w:id="82" w:name="_Toc508803159"/>
      <w:r w:rsidRPr="00A2772C">
        <w:lastRenderedPageBreak/>
        <w:t xml:space="preserve">Figure </w:t>
      </w:r>
      <w:r>
        <w:fldChar w:fldCharType="begin"/>
      </w:r>
      <w:r>
        <w:instrText xml:space="preserve"> SEQ Figure \* ARABIC </w:instrText>
      </w:r>
      <w:r>
        <w:fldChar w:fldCharType="separate"/>
      </w:r>
      <w:r>
        <w:rPr>
          <w:noProof/>
        </w:rPr>
        <w:t>1</w:t>
      </w:r>
      <w:r>
        <w:rPr>
          <w:noProof/>
        </w:rPr>
        <w:fldChar w:fldCharType="end"/>
      </w:r>
      <w:bookmarkEnd w:id="81"/>
      <w:r w:rsidRPr="00A2772C">
        <w:t xml:space="preserve"> – GVA Growth</w:t>
      </w:r>
      <w:r>
        <w:t xml:space="preserve"> - Lancashire and regional and national benchmarks</w:t>
      </w:r>
      <w:bookmarkEnd w:id="82"/>
    </w:p>
    <w:p w:rsidR="00062722" w:rsidRDefault="00BE7ED1" w:rsidP="00062722">
      <w:pPr>
        <w:pStyle w:val="NormalNumbered"/>
        <w:numPr>
          <w:ilvl w:val="0"/>
          <w:numId w:val="0"/>
        </w:numPr>
      </w:pPr>
      <w:r w:rsidRPr="00A2772C">
        <w:rPr>
          <w:noProof/>
          <w:lang w:eastAsia="en-GB"/>
        </w:rPr>
        <w:drawing>
          <wp:inline distT="0" distB="0" distL="0" distR="0">
            <wp:extent cx="5172075" cy="3152775"/>
            <wp:effectExtent l="0" t="0" r="9525" b="9525"/>
            <wp:docPr id="1350880111" name="Chart 2">
              <a:extLst xmlns:a="http://schemas.openxmlformats.org/drawingml/2006/main">
                <a:ext uri="{FF2B5EF4-FFF2-40B4-BE49-F238E27FC236}">
                  <a16:creationId xmlns:a16="http://schemas.microsoft.com/office/drawing/2014/main" id="{FB7EBCB1-CE18-443A-9BF2-6A394D89D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5EF8" w:rsidRPr="00A2772C" w:rsidRDefault="00BE7ED1" w:rsidP="0074708B">
      <w:pPr>
        <w:pStyle w:val="Source"/>
      </w:pPr>
      <w:r w:rsidRPr="00865EF8">
        <w:t>Source: Department for Business, Energy and Industrial</w:t>
      </w:r>
      <w:r w:rsidRPr="00865EF8">
        <w:t xml:space="preserve"> Strategy, Industrial Strategy: Building a Britain fit for the future</w:t>
      </w:r>
      <w:r>
        <w:t xml:space="preserve"> (2017)</w:t>
      </w:r>
    </w:p>
    <w:p w:rsidR="00062722" w:rsidRPr="00A2772C" w:rsidRDefault="00BE7ED1" w:rsidP="00062722">
      <w:pPr>
        <w:pStyle w:val="NormalNumbered"/>
      </w:pPr>
      <w:r w:rsidRPr="00A2772C">
        <w:t>GVA per employee in Lancashire was £42,100 in 2015, against a figure of £50,800 for the UK</w:t>
      </w:r>
      <w:r w:rsidRPr="00A2772C">
        <w:t>, 83% of the UK average. In 2015</w:t>
      </w:r>
      <w:r w:rsidRPr="00A2772C">
        <w:t>, Lanc</w:t>
      </w:r>
      <w:r w:rsidRPr="00A2772C">
        <w:t>ashire’s GVA per employee was 83</w:t>
      </w:r>
      <w:r w:rsidRPr="00A2772C">
        <w:t>% of the UK average</w:t>
      </w:r>
      <w:r w:rsidRPr="00A2772C">
        <w:t>, and this issue of productivity is a long-standing and embedded one</w:t>
      </w:r>
      <w:r w:rsidRPr="00A2772C">
        <w:t>. This productivity gap matters</w:t>
      </w:r>
      <w:r w:rsidRPr="00A2772C">
        <w:t>:</w:t>
      </w:r>
      <w:r w:rsidRPr="00A2772C">
        <w:t xml:space="preserve"> if GVA per employee in 2015 was at the UK level, the Lancashire economy would</w:t>
      </w:r>
      <w:r w:rsidRPr="00A2772C">
        <w:t xml:space="preserve"> have</w:t>
      </w:r>
      <w:r w:rsidRPr="00A2772C">
        <w:t xml:space="preserve"> generate</w:t>
      </w:r>
      <w:r w:rsidRPr="00A2772C">
        <w:t>d</w:t>
      </w:r>
      <w:r w:rsidRPr="00A2772C">
        <w:t xml:space="preserve"> an extra £3.1</w:t>
      </w:r>
      <w:r>
        <w:t xml:space="preserve"> billion.</w:t>
      </w:r>
      <w:r w:rsidRPr="00A2772C">
        <w:t xml:space="preserve"> The closing of this increasing producti</w:t>
      </w:r>
      <w:r w:rsidRPr="00A2772C">
        <w:t>vity deficit</w:t>
      </w:r>
      <w:r w:rsidRPr="00A2772C">
        <w:t xml:space="preserve"> remains</w:t>
      </w:r>
      <w:r w:rsidRPr="00A2772C">
        <w:t xml:space="preserve"> a key challenge for Lancashire. </w:t>
      </w:r>
    </w:p>
    <w:p w:rsidR="00062722" w:rsidRPr="00A2772C" w:rsidRDefault="00BE7ED1" w:rsidP="00062722">
      <w:pPr>
        <w:pStyle w:val="NormalNumbered"/>
      </w:pPr>
      <w:r w:rsidRPr="00A2772C">
        <w:t>This productivity gap</w:t>
      </w:r>
      <w:r>
        <w:t xml:space="preserve"> with the UK </w:t>
      </w:r>
      <w:r w:rsidRPr="00A2772C">
        <w:t>exist</w:t>
      </w:r>
      <w:r>
        <w:t>s</w:t>
      </w:r>
      <w:r w:rsidRPr="00A2772C">
        <w:t xml:space="preserve"> </w:t>
      </w:r>
      <w:r>
        <w:t xml:space="preserve">not </w:t>
      </w:r>
      <w:r w:rsidRPr="00A2772C">
        <w:t>bec</w:t>
      </w:r>
      <w:r w:rsidRPr="00A2772C">
        <w:t xml:space="preserve">ause employees in Lancashire </w:t>
      </w:r>
      <w:r w:rsidRPr="00A2772C">
        <w:t xml:space="preserve">work </w:t>
      </w:r>
      <w:r>
        <w:t xml:space="preserve">less </w:t>
      </w:r>
      <w:r w:rsidRPr="00A2772C">
        <w:t xml:space="preserve">hard </w:t>
      </w:r>
      <w:r>
        <w:t xml:space="preserve">than </w:t>
      </w:r>
      <w:r w:rsidRPr="00A2772C">
        <w:t>people in other areas</w:t>
      </w:r>
      <w:r>
        <w:t>, but because of</w:t>
      </w:r>
      <w:r w:rsidRPr="00A2772C">
        <w:t xml:space="preserve"> </w:t>
      </w:r>
      <w:r w:rsidRPr="00A2772C">
        <w:t>three key drivers:</w:t>
      </w:r>
    </w:p>
    <w:p w:rsidR="00062722" w:rsidRPr="00A2772C" w:rsidRDefault="00BE7ED1" w:rsidP="0064653F">
      <w:pPr>
        <w:pStyle w:val="ListBullet"/>
      </w:pPr>
      <w:r w:rsidRPr="00A2772C">
        <w:t xml:space="preserve">Structural change - a shift away from </w:t>
      </w:r>
      <w:r w:rsidRPr="00A2772C">
        <w:t>Manufactur</w:t>
      </w:r>
      <w:r w:rsidRPr="00A2772C">
        <w:t>ing</w:t>
      </w:r>
      <w:r>
        <w:t xml:space="preserve"> </w:t>
      </w:r>
      <w:r>
        <w:t xml:space="preserve">(a historically high employing sector for the </w:t>
      </w:r>
      <w:r>
        <w:t>County</w:t>
      </w:r>
      <w:r>
        <w:t>)</w:t>
      </w:r>
      <w:r w:rsidRPr="00A2772C">
        <w:t xml:space="preserve"> to lower productivity occupations</w:t>
      </w:r>
      <w:r w:rsidRPr="00A2772C">
        <w:t xml:space="preserve"> – often </w:t>
      </w:r>
      <w:r w:rsidRPr="00A2772C">
        <w:t xml:space="preserve">Services </w:t>
      </w:r>
      <w:r w:rsidRPr="00A2772C">
        <w:t xml:space="preserve">and </w:t>
      </w:r>
      <w:r w:rsidRPr="00A2772C">
        <w:t>Retail</w:t>
      </w:r>
      <w:r w:rsidRPr="00A2772C">
        <w:t>;</w:t>
      </w:r>
    </w:p>
    <w:p w:rsidR="00062722" w:rsidRPr="00A2772C" w:rsidRDefault="00BE7ED1" w:rsidP="0064653F">
      <w:pPr>
        <w:pStyle w:val="ListBullet"/>
      </w:pPr>
      <w:r w:rsidRPr="00A2772C">
        <w:t>Skills - a legacy of educational underachievement</w:t>
      </w:r>
      <w:r>
        <w:t xml:space="preserve">, </w:t>
      </w:r>
      <w:r w:rsidRPr="00A2772C">
        <w:t>skills gaps in key sectors</w:t>
      </w:r>
      <w:r>
        <w:t xml:space="preserve">, and a relentless need to retrain workforces as new </w:t>
      </w:r>
      <w:r>
        <w:t>market and technology changes break-in</w:t>
      </w:r>
      <w:r w:rsidRPr="00A2772C">
        <w:t>; and</w:t>
      </w:r>
    </w:p>
    <w:p w:rsidR="00062722" w:rsidRPr="00A2772C" w:rsidRDefault="00BE7ED1" w:rsidP="0064653F">
      <w:pPr>
        <w:pStyle w:val="ListBullet"/>
      </w:pPr>
      <w:r w:rsidRPr="00A2772C">
        <w:t xml:space="preserve">Innovation and entrepreneurship - </w:t>
      </w:r>
      <w:r>
        <w:t xml:space="preserve">characterised by </w:t>
      </w:r>
      <w:r w:rsidRPr="00A2772C">
        <w:t>lower levels of R&amp;D expenditur</w:t>
      </w:r>
      <w:r w:rsidRPr="00A2772C">
        <w:t>e</w:t>
      </w:r>
      <w:r>
        <w:t xml:space="preserve"> in the </w:t>
      </w:r>
      <w:r>
        <w:t xml:space="preserve">County, worsened </w:t>
      </w:r>
      <w:r w:rsidRPr="00A2772C">
        <w:t>by</w:t>
      </w:r>
      <w:r w:rsidRPr="00A2772C">
        <w:t xml:space="preserve"> low start-up rates and lower inward investment</w:t>
      </w:r>
      <w:r>
        <w:t xml:space="preserve"> levels</w:t>
      </w:r>
      <w:r w:rsidRPr="00A2772C">
        <w:t>.</w:t>
      </w:r>
    </w:p>
    <w:p w:rsidR="00414763" w:rsidRPr="00A2772C" w:rsidRDefault="00BE7ED1" w:rsidP="00A71923">
      <w:pPr>
        <w:pStyle w:val="Heading3"/>
      </w:pPr>
      <w:r w:rsidRPr="00A2772C">
        <w:t>The Changing Shape of Lancashire’s Economy</w:t>
      </w:r>
    </w:p>
    <w:p w:rsidR="005D06CD" w:rsidRPr="00A2772C" w:rsidRDefault="00BE7ED1" w:rsidP="005D06CD">
      <w:pPr>
        <w:pStyle w:val="NormalNumbered"/>
      </w:pPr>
      <w:r w:rsidRPr="00A2772C">
        <w:t>Econ</w:t>
      </w:r>
      <w:r w:rsidRPr="00A2772C">
        <w:t>ometri</w:t>
      </w:r>
      <w:r w:rsidRPr="00A2772C">
        <w:t>c</w:t>
      </w:r>
      <w:r w:rsidRPr="00A2772C">
        <w:t xml:space="preserve"> forecasts</w:t>
      </w:r>
      <w:r>
        <w:rPr>
          <w:rStyle w:val="FootnoteReference"/>
        </w:rPr>
        <w:footnoteReference w:id="3"/>
      </w:r>
      <w:r w:rsidRPr="00A2772C">
        <w:t xml:space="preserve"> </w:t>
      </w:r>
      <w:r w:rsidRPr="00A2772C">
        <w:t xml:space="preserve">suggest that, </w:t>
      </w:r>
      <w:r w:rsidRPr="00A2772C">
        <w:t>under a ‘</w:t>
      </w:r>
      <w:r w:rsidRPr="00A2772C">
        <w:t xml:space="preserve">Do Nothing’ </w:t>
      </w:r>
      <w:r w:rsidRPr="00A2772C">
        <w:t>scenario</w:t>
      </w:r>
      <w:r w:rsidRPr="00A2772C">
        <w:t>,</w:t>
      </w:r>
      <w:r w:rsidRPr="00A2772C">
        <w:t xml:space="preserve"> the productivity </w:t>
      </w:r>
      <w:r w:rsidRPr="00A2772C">
        <w:t>gap will remain</w:t>
      </w:r>
      <w:r w:rsidRPr="00A2772C">
        <w:t xml:space="preserve">. By 2036, GVA in Lancashire is due to increase by </w:t>
      </w:r>
      <w:r w:rsidRPr="00A2772C">
        <w:t>just over 30%</w:t>
      </w:r>
      <w:r w:rsidRPr="00A2772C">
        <w:t xml:space="preserve"> to £38.5</w:t>
      </w:r>
      <w:r>
        <w:t xml:space="preserve"> billion</w:t>
      </w:r>
      <w:r w:rsidRPr="00A2772C">
        <w:t>. Over the same period, UK GVA i</w:t>
      </w:r>
      <w:r w:rsidRPr="00A2772C">
        <w:t>s forecasted to increase by just over 40</w:t>
      </w:r>
      <w:r w:rsidRPr="00A2772C">
        <w:t xml:space="preserve">%: the </w:t>
      </w:r>
      <w:r w:rsidRPr="00A2772C">
        <w:t>productivity gap will grow.</w:t>
      </w:r>
      <w:r w:rsidRPr="00A2772C">
        <w:t xml:space="preserve"> If Lancashire’s GVA grew at the same rate as the UK</w:t>
      </w:r>
      <w:r w:rsidRPr="00A2772C">
        <w:t xml:space="preserve"> over this period</w:t>
      </w:r>
      <w:r w:rsidRPr="00A2772C">
        <w:t xml:space="preserve"> this would result in an additional £2.5</w:t>
      </w:r>
      <w:r>
        <w:t xml:space="preserve"> </w:t>
      </w:r>
      <w:r>
        <w:t xml:space="preserve">billion </w:t>
      </w:r>
      <w:r w:rsidRPr="00A2772C">
        <w:t>in GVA</w:t>
      </w:r>
      <w:r w:rsidRPr="00A2772C">
        <w:t xml:space="preserve"> by 2036</w:t>
      </w:r>
      <w:r w:rsidRPr="00A2772C">
        <w:t>.</w:t>
      </w:r>
    </w:p>
    <w:p w:rsidR="005D06CD" w:rsidRPr="00A2772C" w:rsidRDefault="00BE7ED1" w:rsidP="005D06CD">
      <w:pPr>
        <w:pStyle w:val="NormalNumbered"/>
      </w:pPr>
      <w:r w:rsidRPr="00A2772C">
        <w:lastRenderedPageBreak/>
        <w:t>Employment growth is also forecast to remain slower than that of the UK. By 2036,</w:t>
      </w:r>
      <w:r w:rsidRPr="00A2772C">
        <w:t xml:space="preserve"> employment in</w:t>
      </w:r>
      <w:r w:rsidRPr="00A2772C">
        <w:t xml:space="preserve"> Lancashire is set</w:t>
      </w:r>
      <w:r w:rsidRPr="00A2772C">
        <w:t xml:space="preserve"> to grow by 2.7% (an </w:t>
      </w:r>
      <w:r w:rsidRPr="00A2772C">
        <w:t>added</w:t>
      </w:r>
      <w:r w:rsidRPr="00A2772C">
        <w:t xml:space="preserve"> 19,000 jobs). Over the same </w:t>
      </w:r>
      <w:r w:rsidRPr="00C47366">
        <w:rPr>
          <w:noProof/>
        </w:rPr>
        <w:t>period</w:t>
      </w:r>
      <w:r>
        <w:rPr>
          <w:noProof/>
        </w:rPr>
        <w:t>,</w:t>
      </w:r>
      <w:r w:rsidRPr="00A2772C">
        <w:t xml:space="preserve"> the UK </w:t>
      </w:r>
      <w:r w:rsidRPr="00A2772C">
        <w:t>employment is due</w:t>
      </w:r>
      <w:r w:rsidRPr="00A2772C">
        <w:t xml:space="preserve"> to increase by 7.3%. If Lancashire’s employment grew at th</w:t>
      </w:r>
      <w:r w:rsidRPr="00A2772C">
        <w:t>e same</w:t>
      </w:r>
      <w:r w:rsidRPr="00A2772C">
        <w:t xml:space="preserve"> rate</w:t>
      </w:r>
      <w:r w:rsidRPr="00A2772C">
        <w:t xml:space="preserve"> as the UK</w:t>
      </w:r>
      <w:r w:rsidRPr="00A2772C">
        <w:t xml:space="preserve"> this would result in an extra 53,000 jobs in the local economy.</w:t>
      </w:r>
    </w:p>
    <w:p w:rsidR="005D06CD" w:rsidRPr="00A2772C" w:rsidRDefault="00BE7ED1" w:rsidP="00810FE7">
      <w:pPr>
        <w:pStyle w:val="NormalNumbered"/>
      </w:pPr>
      <w:r w:rsidRPr="00A2772C">
        <w:t>Moreover, Lancashire’s economy will experience significant change over the next two decades.</w:t>
      </w:r>
      <w:r w:rsidRPr="00A2772C">
        <w:t xml:space="preserve"> Sectors are expected to perform in one of two ways:</w:t>
      </w:r>
    </w:p>
    <w:p w:rsidR="005D06CD" w:rsidRPr="00A2772C" w:rsidRDefault="00BE7ED1" w:rsidP="005D06CD">
      <w:pPr>
        <w:pStyle w:val="ListBullet"/>
      </w:pPr>
      <w:r w:rsidRPr="00A2772C">
        <w:rPr>
          <w:i/>
        </w:rPr>
        <w:t>Expanding sectors</w:t>
      </w:r>
      <w:r w:rsidRPr="00A2772C">
        <w:t xml:space="preserve"> which are forecasted to grow in both GVA and employment</w:t>
      </w:r>
      <w:r>
        <w:t>; and</w:t>
      </w:r>
    </w:p>
    <w:p w:rsidR="005D06CD" w:rsidRPr="00A2772C" w:rsidRDefault="00BE7ED1" w:rsidP="005D06CD">
      <w:pPr>
        <w:pStyle w:val="ListBullet"/>
      </w:pPr>
      <w:r w:rsidRPr="00A2772C">
        <w:rPr>
          <w:i/>
        </w:rPr>
        <w:t>Adjusting sectors</w:t>
      </w:r>
      <w:r w:rsidRPr="00A2772C">
        <w:t xml:space="preserve"> where GVA will</w:t>
      </w:r>
      <w:r w:rsidRPr="00A2772C">
        <w:t xml:space="preserve"> increase but employment is likely to decrease</w:t>
      </w:r>
      <w:r>
        <w:t>.</w:t>
      </w:r>
    </w:p>
    <w:p w:rsidR="003D449D" w:rsidRPr="00A2772C" w:rsidRDefault="00BE7ED1" w:rsidP="003D449D">
      <w:pPr>
        <w:pStyle w:val="NormalNumbered"/>
      </w:pPr>
      <w:r w:rsidRPr="00A2772C">
        <w:fldChar w:fldCharType="begin"/>
      </w:r>
      <w:r w:rsidRPr="00A2772C">
        <w:instrText xml:space="preserve"> REF _Ref502737197 \h </w:instrText>
      </w:r>
      <w:r w:rsidRPr="00A2772C">
        <w:fldChar w:fldCharType="separate"/>
      </w:r>
      <w:r w:rsidRPr="00A2772C">
        <w:t xml:space="preserve">Figure </w:t>
      </w:r>
      <w:r>
        <w:rPr>
          <w:noProof/>
        </w:rPr>
        <w:t>2</w:t>
      </w:r>
      <w:r w:rsidRPr="00A2772C">
        <w:fldChar w:fldCharType="end"/>
      </w:r>
      <w:r w:rsidRPr="00A2772C">
        <w:t xml:space="preserve"> </w:t>
      </w:r>
      <w:r w:rsidRPr="00A2772C">
        <w:t xml:space="preserve">below shows the </w:t>
      </w:r>
      <w:r w:rsidRPr="00A2772C">
        <w:rPr>
          <w:i/>
        </w:rPr>
        <w:t>E</w:t>
      </w:r>
      <w:r w:rsidRPr="00A2772C">
        <w:rPr>
          <w:i/>
        </w:rPr>
        <w:t>xpanding sectors</w:t>
      </w:r>
      <w:r w:rsidRPr="00A2772C">
        <w:t>. Significant growth in both GVA and employment is forecasted in service sec</w:t>
      </w:r>
      <w:r w:rsidRPr="00A2772C">
        <w:t xml:space="preserve">tors such as </w:t>
      </w:r>
      <w:r>
        <w:t>Professional/Scientific/Technical</w:t>
      </w:r>
      <w:r w:rsidRPr="00A2772C">
        <w:t>,</w:t>
      </w:r>
      <w:r w:rsidRPr="00A2772C">
        <w:t xml:space="preserve"> </w:t>
      </w:r>
      <w:r>
        <w:t xml:space="preserve">Administration/Support </w:t>
      </w:r>
      <w:r w:rsidRPr="00A2772C">
        <w:t>(including Technical Support)</w:t>
      </w:r>
      <w:r w:rsidRPr="00A2772C">
        <w:t xml:space="preserve">, and </w:t>
      </w:r>
      <w:r>
        <w:t>Information/Communications</w:t>
      </w:r>
      <w:r w:rsidRPr="00A2772C">
        <w:t>. Most sectors are forecasted to grow in GVA and employment.</w:t>
      </w:r>
      <w:r w:rsidRPr="00A2772C">
        <w:t xml:space="preserve"> </w:t>
      </w:r>
      <w:r>
        <w:t>These data are</w:t>
      </w:r>
      <w:r w:rsidRPr="00A2772C">
        <w:t xml:space="preserve"> at a broad sectoral level, which can </w:t>
      </w:r>
      <w:r w:rsidRPr="00A2772C">
        <w:t>miss the nu</w:t>
      </w:r>
      <w:r w:rsidRPr="00A2772C">
        <w:t>ances and variety of job roles within each sector.</w:t>
      </w:r>
    </w:p>
    <w:p w:rsidR="00A4292E" w:rsidRPr="00A2772C" w:rsidRDefault="00BE7ED1" w:rsidP="00A4292E">
      <w:pPr>
        <w:pStyle w:val="Caption"/>
      </w:pPr>
      <w:bookmarkStart w:id="83" w:name="_Ref502737197"/>
      <w:bookmarkStart w:id="84" w:name="_Toc508803160"/>
      <w:r w:rsidRPr="00A2772C">
        <w:t xml:space="preserve">Figure </w:t>
      </w:r>
      <w:r>
        <w:fldChar w:fldCharType="begin"/>
      </w:r>
      <w:r>
        <w:instrText xml:space="preserve"> SEQ Figure \* ARABIC </w:instrText>
      </w:r>
      <w:r>
        <w:fldChar w:fldCharType="separate"/>
      </w:r>
      <w:r>
        <w:rPr>
          <w:noProof/>
        </w:rPr>
        <w:t>2</w:t>
      </w:r>
      <w:r>
        <w:rPr>
          <w:noProof/>
        </w:rPr>
        <w:fldChar w:fldCharType="end"/>
      </w:r>
      <w:bookmarkEnd w:id="83"/>
      <w:r w:rsidRPr="00A2772C">
        <w:t xml:space="preserve"> – Expanding Sectors</w:t>
      </w:r>
      <w:r>
        <w:t xml:space="preserve"> in Lancashire</w:t>
      </w:r>
      <w:r>
        <w:t xml:space="preserve"> in the period to 2036</w:t>
      </w:r>
      <w:bookmarkEnd w:id="84"/>
    </w:p>
    <w:p w:rsidR="005D06CD" w:rsidRPr="00A2772C" w:rsidRDefault="00BE7ED1" w:rsidP="005D06CD">
      <w:pPr>
        <w:pStyle w:val="NormalNumbered"/>
        <w:numPr>
          <w:ilvl w:val="0"/>
          <w:numId w:val="0"/>
        </w:numPr>
      </w:pPr>
      <w:r w:rsidRPr="00A2772C">
        <w:rPr>
          <w:noProof/>
          <w:lang w:eastAsia="en-GB"/>
        </w:rPr>
        <w:drawing>
          <wp:inline distT="0" distB="0" distL="0" distR="0">
            <wp:extent cx="5457825" cy="3857625"/>
            <wp:effectExtent l="0" t="0" r="9525" b="9525"/>
            <wp:docPr id="15" name="Chart 15">
              <a:extLst xmlns:a="http://schemas.openxmlformats.org/drawingml/2006/main">
                <a:ext uri="{FF2B5EF4-FFF2-40B4-BE49-F238E27FC236}">
                  <a16:creationId xmlns:a16="http://schemas.microsoft.com/office/drawing/2014/main" id="{B98A3B54-9510-4205-9AFB-D9B2CE1F0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5EF8" w:rsidRDefault="00BE7ED1" w:rsidP="00865EF8">
      <w:pPr>
        <w:pStyle w:val="Source"/>
      </w:pPr>
      <w:r w:rsidRPr="00865EF8">
        <w:t xml:space="preserve">Source: BRES and ONS, Regional Accounts, </w:t>
      </w:r>
      <w:r>
        <w:rPr>
          <w:color w:val="AE1031"/>
        </w:rPr>
        <w:t>2015</w:t>
      </w:r>
      <w:r w:rsidRPr="00865EF8">
        <w:rPr>
          <w:color w:val="AE1031"/>
        </w:rPr>
        <w:t xml:space="preserve"> </w:t>
      </w:r>
    </w:p>
    <w:p w:rsidR="00810FE7" w:rsidRPr="00A2772C" w:rsidRDefault="00BE7ED1" w:rsidP="00C366CC">
      <w:pPr>
        <w:pStyle w:val="NormalNumbered"/>
      </w:pPr>
      <w:r w:rsidRPr="00A2772C">
        <w:fldChar w:fldCharType="begin"/>
      </w:r>
      <w:r w:rsidRPr="00A2772C">
        <w:instrText xml:space="preserve"> REF _Ref502737270 \h </w:instrText>
      </w:r>
      <w:r w:rsidRPr="00A2772C">
        <w:fldChar w:fldCharType="separate"/>
      </w:r>
      <w:r w:rsidRPr="00A2772C">
        <w:t xml:space="preserve">Figure </w:t>
      </w:r>
      <w:r>
        <w:rPr>
          <w:noProof/>
        </w:rPr>
        <w:t>3</w:t>
      </w:r>
      <w:r w:rsidRPr="00A2772C">
        <w:fldChar w:fldCharType="end"/>
      </w:r>
      <w:r w:rsidRPr="00A2772C">
        <w:t xml:space="preserve"> below</w:t>
      </w:r>
      <w:r w:rsidRPr="00A2772C">
        <w:t xml:space="preserve"> shows the </w:t>
      </w:r>
      <w:r w:rsidRPr="00A2772C">
        <w:rPr>
          <w:i/>
        </w:rPr>
        <w:t>A</w:t>
      </w:r>
      <w:r w:rsidRPr="00A2772C">
        <w:rPr>
          <w:i/>
        </w:rPr>
        <w:t>djusting sectors</w:t>
      </w:r>
      <w:r w:rsidRPr="00A2772C">
        <w:t>. Most significantly, the current key employment sector of manufacturing is forecast to decline in employment by 24% (c.20,000 jobs)</w:t>
      </w:r>
      <w:r w:rsidRPr="00A2772C">
        <w:t xml:space="preserve"> by 2036</w:t>
      </w:r>
      <w:r w:rsidRPr="00A2772C">
        <w:t xml:space="preserve">. </w:t>
      </w:r>
      <w:r w:rsidRPr="00A2772C">
        <w:t>This trend is ex</w:t>
      </w:r>
      <w:r w:rsidRPr="00A2772C">
        <w:t xml:space="preserve">pected nationally, </w:t>
      </w:r>
      <w:r w:rsidRPr="0074708B">
        <w:rPr>
          <w:noProof/>
        </w:rPr>
        <w:t>however</w:t>
      </w:r>
      <w:r>
        <w:rPr>
          <w:noProof/>
        </w:rPr>
        <w:t>,</w:t>
      </w:r>
      <w:r w:rsidRPr="00A2772C">
        <w:t xml:space="preserve"> is expected to be more keenly felt in Lancashire due to the size of the sector in the County. </w:t>
      </w:r>
      <w:r w:rsidRPr="00A2772C">
        <w:t>Th</w:t>
      </w:r>
      <w:r>
        <w:t>e fact that</w:t>
      </w:r>
      <w:r w:rsidRPr="00A2772C">
        <w:t xml:space="preserve"> manufacturing is foreca</w:t>
      </w:r>
      <w:r w:rsidRPr="00A2772C">
        <w:t>st to grow in GVA despite this points to</w:t>
      </w:r>
      <w:r w:rsidRPr="00A2772C">
        <w:t xml:space="preserve"> the productivity opportunities </w:t>
      </w:r>
      <w:r>
        <w:t xml:space="preserve">in data and automation </w:t>
      </w:r>
      <w:r w:rsidRPr="00A2772C">
        <w:t>that</w:t>
      </w:r>
      <w:r w:rsidRPr="00A2772C">
        <w:t xml:space="preserve"> </w:t>
      </w:r>
      <w:r w:rsidRPr="00A2772C">
        <w:t>I</w:t>
      </w:r>
      <w:r w:rsidRPr="00A2772C">
        <w:t>ndustry 4.0</w:t>
      </w:r>
      <w:r w:rsidRPr="00A2772C">
        <w:t xml:space="preserve"> presents</w:t>
      </w:r>
      <w:r w:rsidRPr="00A2772C">
        <w:t>.</w:t>
      </w:r>
      <w:r w:rsidRPr="00A2772C">
        <w:t xml:space="preserve"> It is important to remember that these forecasts are ‘policy-off’, meaning they do not consider different policy scenarios or their implications. Interventions such as those </w:t>
      </w:r>
      <w:r w:rsidRPr="00A2772C">
        <w:lastRenderedPageBreak/>
        <w:t>advocated later in this Plan, alongside ongoing action</w:t>
      </w:r>
      <w:r w:rsidRPr="00A2772C">
        <w:t>s across the County and North, can address these potential employment challenges.</w:t>
      </w:r>
    </w:p>
    <w:p w:rsidR="00E35CAE" w:rsidRPr="00A2772C" w:rsidRDefault="00BE7ED1" w:rsidP="00E35CAE">
      <w:pPr>
        <w:pStyle w:val="Caption"/>
      </w:pPr>
      <w:bookmarkStart w:id="85" w:name="_Ref502737270"/>
      <w:bookmarkStart w:id="86" w:name="_Toc508803161"/>
      <w:r w:rsidRPr="00A2772C">
        <w:t xml:space="preserve">Figure </w:t>
      </w:r>
      <w:r>
        <w:fldChar w:fldCharType="begin"/>
      </w:r>
      <w:r>
        <w:instrText xml:space="preserve"> SEQ Figure \* ARABIC </w:instrText>
      </w:r>
      <w:r>
        <w:fldChar w:fldCharType="separate"/>
      </w:r>
      <w:r>
        <w:rPr>
          <w:noProof/>
        </w:rPr>
        <w:t>3</w:t>
      </w:r>
      <w:r>
        <w:rPr>
          <w:noProof/>
        </w:rPr>
        <w:fldChar w:fldCharType="end"/>
      </w:r>
      <w:bookmarkEnd w:id="85"/>
      <w:r w:rsidRPr="00A2772C">
        <w:t xml:space="preserve"> – Adjusting Sectors</w:t>
      </w:r>
      <w:r>
        <w:t xml:space="preserve"> in Lancashire in the period to 2023</w:t>
      </w:r>
      <w:bookmarkEnd w:id="86"/>
    </w:p>
    <w:p w:rsidR="005D06CD" w:rsidRPr="00A2772C" w:rsidRDefault="00BE7ED1" w:rsidP="00AF7082">
      <w:pPr>
        <w:pStyle w:val="NormalNumbered"/>
        <w:numPr>
          <w:ilvl w:val="0"/>
          <w:numId w:val="0"/>
        </w:numPr>
      </w:pPr>
      <w:r w:rsidRPr="00A2772C">
        <w:rPr>
          <w:noProof/>
          <w:lang w:eastAsia="en-GB"/>
        </w:rPr>
        <w:drawing>
          <wp:inline distT="0" distB="0" distL="0" distR="0">
            <wp:extent cx="5385435" cy="3933825"/>
            <wp:effectExtent l="0" t="0" r="5715" b="9525"/>
            <wp:docPr id="19" name="Chart 19">
              <a:extLst xmlns:a="http://schemas.openxmlformats.org/drawingml/2006/main">
                <a:ext uri="{FF2B5EF4-FFF2-40B4-BE49-F238E27FC236}">
                  <a16:creationId xmlns:a16="http://schemas.microsoft.com/office/drawing/2014/main" id="{D7AA656A-E400-47AB-9CCB-D98845CB1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5EF8" w:rsidRDefault="00BE7ED1" w:rsidP="00865EF8">
      <w:pPr>
        <w:pStyle w:val="Source"/>
      </w:pPr>
      <w:r w:rsidRPr="00865EF8">
        <w:t xml:space="preserve">Source: BRES and ONS, Regional Accounts, </w:t>
      </w:r>
      <w:r>
        <w:rPr>
          <w:color w:val="AE1031"/>
        </w:rPr>
        <w:t>2015</w:t>
      </w:r>
    </w:p>
    <w:p w:rsidR="00414763" w:rsidRPr="00A2772C" w:rsidRDefault="00BE7ED1" w:rsidP="00AF7082">
      <w:pPr>
        <w:pStyle w:val="Heading3"/>
      </w:pPr>
      <w:r w:rsidRPr="00A2772C">
        <w:t>Innovation and Knowledge</w:t>
      </w:r>
    </w:p>
    <w:p w:rsidR="005D06CD" w:rsidRPr="00A2772C" w:rsidRDefault="00BE7ED1" w:rsidP="005D06CD">
      <w:pPr>
        <w:pStyle w:val="NormalNumbered"/>
      </w:pPr>
      <w:r w:rsidRPr="00A2772C">
        <w:fldChar w:fldCharType="begin"/>
      </w:r>
      <w:r w:rsidRPr="00A2772C">
        <w:instrText xml:space="preserve"> REF _Ref502737316 \h </w:instrText>
      </w:r>
      <w:r w:rsidRPr="00A2772C">
        <w:fldChar w:fldCharType="separate"/>
      </w:r>
      <w:r w:rsidRPr="00A2772C">
        <w:t xml:space="preserve">Table </w:t>
      </w:r>
      <w:r>
        <w:rPr>
          <w:noProof/>
        </w:rPr>
        <w:t>1</w:t>
      </w:r>
      <w:r w:rsidRPr="00A2772C">
        <w:fldChar w:fldCharType="end"/>
      </w:r>
      <w:r w:rsidRPr="00A2772C">
        <w:t xml:space="preserve"> below gives an overview of Lancashire’s current performance on </w:t>
      </w:r>
      <w:r w:rsidRPr="00A2772C">
        <w:t xml:space="preserve">innovation indicators </w:t>
      </w:r>
      <w:r w:rsidRPr="00A2772C">
        <w:t>relating to STEM, graduate retention, and R&amp;D expenditure</w:t>
      </w:r>
      <w:r>
        <w:t>s</w:t>
      </w:r>
      <w:r w:rsidRPr="00A2772C">
        <w:t xml:space="preserve">. </w:t>
      </w:r>
    </w:p>
    <w:p w:rsidR="00E35CAE" w:rsidRDefault="00BE7ED1" w:rsidP="00E35CAE">
      <w:pPr>
        <w:pStyle w:val="Caption"/>
      </w:pPr>
      <w:bookmarkStart w:id="87" w:name="_Ref502737316"/>
      <w:bookmarkStart w:id="88" w:name="_Toc508803169"/>
      <w:r w:rsidRPr="00A2772C">
        <w:t xml:space="preserve">Table </w:t>
      </w:r>
      <w:r>
        <w:fldChar w:fldCharType="begin"/>
      </w:r>
      <w:r>
        <w:instrText xml:space="preserve"> SEQ Ta</w:instrText>
      </w:r>
      <w:r>
        <w:instrText xml:space="preserve">ble \* ARABIC </w:instrText>
      </w:r>
      <w:r>
        <w:fldChar w:fldCharType="separate"/>
      </w:r>
      <w:r>
        <w:rPr>
          <w:noProof/>
        </w:rPr>
        <w:t>1</w:t>
      </w:r>
      <w:r>
        <w:rPr>
          <w:noProof/>
        </w:rPr>
        <w:fldChar w:fldCharType="end"/>
      </w:r>
      <w:bookmarkEnd w:id="87"/>
      <w:r w:rsidRPr="00A2772C">
        <w:t xml:space="preserve"> – Innovation and Knowledge Indicators</w:t>
      </w:r>
      <w:bookmarkEnd w:id="88"/>
    </w:p>
    <w:tbl>
      <w:tblPr>
        <w:tblStyle w:val="SDGTableDefault"/>
        <w:tblW w:w="0" w:type="auto"/>
        <w:tblLook w:val="04A0" w:firstRow="1" w:lastRow="0" w:firstColumn="1" w:lastColumn="0" w:noHBand="0" w:noVBand="1"/>
      </w:tblPr>
      <w:tblGrid>
        <w:gridCol w:w="2694"/>
        <w:gridCol w:w="1417"/>
        <w:gridCol w:w="1559"/>
        <w:gridCol w:w="1418"/>
        <w:gridCol w:w="1393"/>
      </w:tblGrid>
      <w:tr w:rsidR="00351F99" w:rsidTr="00351F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11726B">
              <w:t>Indicator</w:t>
            </w:r>
          </w:p>
        </w:tc>
        <w:tc>
          <w:tcPr>
            <w:tcW w:w="1417" w:type="dxa"/>
            <w:vAlign w:val="top"/>
          </w:tcPr>
          <w:p w:rsidR="00C366CC" w:rsidRDefault="00BE7ED1" w:rsidP="00C366CC">
            <w:pPr>
              <w:cnfStyle w:val="100000000000" w:firstRow="1" w:lastRow="0" w:firstColumn="0" w:lastColumn="0" w:oddVBand="0" w:evenVBand="0" w:oddHBand="0" w:evenHBand="0" w:firstRowFirstColumn="0" w:firstRowLastColumn="0" w:lastRowFirstColumn="0" w:lastRowLastColumn="0"/>
            </w:pPr>
            <w:r w:rsidRPr="0011726B">
              <w:t>Lancs LEP</w:t>
            </w:r>
          </w:p>
        </w:tc>
        <w:tc>
          <w:tcPr>
            <w:tcW w:w="1559" w:type="dxa"/>
            <w:vAlign w:val="top"/>
          </w:tcPr>
          <w:p w:rsidR="00C366CC" w:rsidRDefault="00BE7ED1" w:rsidP="00C366CC">
            <w:pPr>
              <w:cnfStyle w:val="100000000000" w:firstRow="1" w:lastRow="0" w:firstColumn="0" w:lastColumn="0" w:oddVBand="0" w:evenVBand="0" w:oddHBand="0" w:evenHBand="0" w:firstRowFirstColumn="0" w:firstRowLastColumn="0" w:lastRowFirstColumn="0" w:lastRowLastColumn="0"/>
            </w:pPr>
            <w:r w:rsidRPr="0011726B">
              <w:t>North West</w:t>
            </w:r>
          </w:p>
        </w:tc>
        <w:tc>
          <w:tcPr>
            <w:tcW w:w="1418" w:type="dxa"/>
            <w:vAlign w:val="top"/>
          </w:tcPr>
          <w:p w:rsidR="00C366CC" w:rsidRDefault="00BE7ED1" w:rsidP="00C366CC">
            <w:pPr>
              <w:cnfStyle w:val="100000000000" w:firstRow="1" w:lastRow="0" w:firstColumn="0" w:lastColumn="0" w:oddVBand="0" w:evenVBand="0" w:oddHBand="0" w:evenHBand="0" w:firstRowFirstColumn="0" w:firstRowLastColumn="0" w:lastRowFirstColumn="0" w:lastRowLastColumn="0"/>
            </w:pPr>
            <w:r w:rsidRPr="0011726B">
              <w:t>UK</w:t>
            </w:r>
          </w:p>
        </w:tc>
        <w:tc>
          <w:tcPr>
            <w:tcW w:w="1393" w:type="dxa"/>
            <w:vAlign w:val="top"/>
          </w:tcPr>
          <w:p w:rsidR="00C366CC" w:rsidRDefault="00BE7ED1" w:rsidP="00C366CC">
            <w:pPr>
              <w:cnfStyle w:val="100000000000" w:firstRow="1" w:lastRow="0" w:firstColumn="0" w:lastColumn="0" w:oddVBand="0" w:evenVBand="0" w:oddHBand="0" w:evenHBand="0" w:firstRowFirstColumn="0" w:firstRowLastColumn="0" w:lastRowFirstColumn="0" w:lastRowLastColumn="0"/>
            </w:pPr>
            <w:r w:rsidRPr="0011726B">
              <w:t>Source/ Date</w:t>
            </w: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11726B">
              <w:t>Graduate retention rates</w:t>
            </w:r>
          </w:p>
        </w:tc>
        <w:tc>
          <w:tcPr>
            <w:tcW w:w="1417"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11726B">
              <w:t>80%</w:t>
            </w:r>
          </w:p>
        </w:tc>
        <w:tc>
          <w:tcPr>
            <w:tcW w:w="1559"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11726B">
              <w:t>77% (NW average)</w:t>
            </w:r>
          </w:p>
        </w:tc>
        <w:tc>
          <w:tcPr>
            <w:tcW w:w="1418"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11726B">
              <w:t>68% (All-LEP average)</w:t>
            </w:r>
          </w:p>
        </w:tc>
        <w:tc>
          <w:tcPr>
            <w:tcW w:w="1393" w:type="dxa"/>
            <w:vAlign w:val="top"/>
          </w:tcPr>
          <w:p w:rsidR="00C366CC" w:rsidRDefault="00BE7ED1" w:rsidP="00C366CC">
            <w:pPr>
              <w:cnfStyle w:val="000000100000" w:firstRow="0" w:lastRow="0" w:firstColumn="0" w:lastColumn="0" w:oddVBand="0" w:evenVBand="0" w:oddHBand="1" w:evenHBand="0" w:firstRowFirstColumn="0" w:firstRowLastColumn="0" w:lastRowFirstColumn="0" w:lastRowLastColumn="0"/>
            </w:pPr>
            <w:r w:rsidRPr="0011726B">
              <w:t>HESA 2012/13</w:t>
            </w:r>
          </w:p>
        </w:tc>
      </w:tr>
      <w:tr w:rsidR="00351F99" w:rsidTr="00351F99">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11726B">
              <w:t>Undergrads in STEM/non-STEM</w:t>
            </w:r>
          </w:p>
        </w:tc>
        <w:tc>
          <w:tcPr>
            <w:tcW w:w="1417"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11726B">
              <w:t>34%/66%</w:t>
            </w:r>
          </w:p>
        </w:tc>
        <w:tc>
          <w:tcPr>
            <w:tcW w:w="1559"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11726B">
              <w:t>35%/65%</w:t>
            </w:r>
          </w:p>
        </w:tc>
        <w:tc>
          <w:tcPr>
            <w:tcW w:w="1418"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11726B">
              <w:t>35%/65% (England)</w:t>
            </w:r>
          </w:p>
        </w:tc>
        <w:tc>
          <w:tcPr>
            <w:tcW w:w="1393" w:type="dxa"/>
            <w:vAlign w:val="top"/>
          </w:tcPr>
          <w:p w:rsidR="00C366CC" w:rsidRDefault="00BE7ED1" w:rsidP="00C366CC">
            <w:pPr>
              <w:cnfStyle w:val="000000000000" w:firstRow="0" w:lastRow="0" w:firstColumn="0" w:lastColumn="0" w:oddVBand="0" w:evenVBand="0" w:oddHBand="0" w:evenHBand="0" w:firstRowFirstColumn="0" w:firstRowLastColumn="0" w:lastRowFirstColumn="0" w:lastRowLastColumn="0"/>
            </w:pPr>
            <w:r w:rsidRPr="0011726B">
              <w:t xml:space="preserve">HESA </w:t>
            </w:r>
            <w:r w:rsidRPr="0011726B">
              <w:t>2013/14</w:t>
            </w: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B26A31">
              <w:t>FT Post-grads in STEM/non-STEM</w:t>
            </w:r>
          </w:p>
        </w:tc>
        <w:tc>
          <w:tcPr>
            <w:tcW w:w="1417"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B26A31">
              <w:t>49%/51%</w:t>
            </w:r>
          </w:p>
        </w:tc>
        <w:tc>
          <w:tcPr>
            <w:tcW w:w="1559"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B26A31">
              <w:t>68%/32%</w:t>
            </w:r>
          </w:p>
        </w:tc>
        <w:tc>
          <w:tcPr>
            <w:tcW w:w="1418"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B26A31">
              <w:t>65%/35% (England)</w:t>
            </w:r>
          </w:p>
        </w:tc>
        <w:tc>
          <w:tcPr>
            <w:tcW w:w="1393" w:type="dxa"/>
            <w:vAlign w:val="top"/>
          </w:tcPr>
          <w:p w:rsidR="00C366CC" w:rsidRDefault="00BE7ED1" w:rsidP="00C366CC">
            <w:pPr>
              <w:cnfStyle w:val="000000100000" w:firstRow="0" w:lastRow="0" w:firstColumn="0" w:lastColumn="0" w:oddVBand="0" w:evenVBand="0" w:oddHBand="1" w:evenHBand="0" w:firstRowFirstColumn="0" w:firstRowLastColumn="0" w:lastRowFirstColumn="0" w:lastRowLastColumn="0"/>
            </w:pPr>
            <w:r w:rsidRPr="00B26A31">
              <w:t>HESA 2013/14</w:t>
            </w:r>
          </w:p>
        </w:tc>
      </w:tr>
      <w:tr w:rsidR="00351F99" w:rsidTr="00351F99">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B26A31">
              <w:t>University spin-outs/start-ups since 2000</w:t>
            </w:r>
          </w:p>
        </w:tc>
        <w:tc>
          <w:tcPr>
            <w:tcW w:w="1417"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B26A31">
              <w:t>27 (1% of UK total)</w:t>
            </w:r>
          </w:p>
        </w:tc>
        <w:tc>
          <w:tcPr>
            <w:tcW w:w="1559"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B26A31">
              <w:t>156 (7% of UK total)</w:t>
            </w:r>
          </w:p>
        </w:tc>
        <w:tc>
          <w:tcPr>
            <w:tcW w:w="1418"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B26A31">
              <w:t>2,293</w:t>
            </w:r>
          </w:p>
        </w:tc>
        <w:tc>
          <w:tcPr>
            <w:tcW w:w="1393" w:type="dxa"/>
            <w:vAlign w:val="top"/>
          </w:tcPr>
          <w:p w:rsidR="00C366CC" w:rsidRDefault="00BE7ED1" w:rsidP="00C366CC">
            <w:pPr>
              <w:cnfStyle w:val="000000000000" w:firstRow="0" w:lastRow="0" w:firstColumn="0" w:lastColumn="0" w:oddVBand="0" w:evenVBand="0" w:oddHBand="0" w:evenHBand="0" w:firstRowFirstColumn="0" w:firstRowLastColumn="0" w:lastRowFirstColumn="0" w:lastRowLastColumn="0"/>
            </w:pPr>
            <w:r w:rsidRPr="00B26A31">
              <w:t>Spinouts UK/2017</w:t>
            </w: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B26A31">
              <w:t>Total R&amp;D Expenditure (£ per person employed)</w:t>
            </w:r>
          </w:p>
        </w:tc>
        <w:tc>
          <w:tcPr>
            <w:tcW w:w="1417"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B26A31">
              <w:t>£525</w:t>
            </w:r>
          </w:p>
        </w:tc>
        <w:tc>
          <w:tcPr>
            <w:tcW w:w="1559"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B26A31">
              <w:t>£1,093</w:t>
            </w:r>
          </w:p>
        </w:tc>
        <w:tc>
          <w:tcPr>
            <w:tcW w:w="1418"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B26A31">
              <w:t>£1,070</w:t>
            </w:r>
          </w:p>
        </w:tc>
        <w:tc>
          <w:tcPr>
            <w:tcW w:w="1393" w:type="dxa"/>
            <w:vAlign w:val="top"/>
          </w:tcPr>
          <w:p w:rsidR="00C366CC" w:rsidRDefault="00BE7ED1" w:rsidP="00C366CC">
            <w:pPr>
              <w:cnfStyle w:val="000000100000" w:firstRow="0" w:lastRow="0" w:firstColumn="0" w:lastColumn="0" w:oddVBand="0" w:evenVBand="0" w:oddHBand="1" w:evenHBand="0" w:firstRowFirstColumn="0" w:firstRowLastColumn="0" w:lastRowFirstColumn="0" w:lastRowLastColumn="0"/>
            </w:pPr>
            <w:r w:rsidRPr="00B26A31">
              <w:t>Eurostat + BRES/2011</w:t>
            </w:r>
          </w:p>
        </w:tc>
      </w:tr>
      <w:tr w:rsidR="00351F99" w:rsidTr="00351F99">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2C02D2">
              <w:t>of which Business R&amp;D expenditure (BERD)</w:t>
            </w:r>
          </w:p>
        </w:tc>
        <w:tc>
          <w:tcPr>
            <w:tcW w:w="1417"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2C02D2">
              <w:t>£388 (74%)</w:t>
            </w:r>
          </w:p>
        </w:tc>
        <w:tc>
          <w:tcPr>
            <w:tcW w:w="1559"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2C02D2">
              <w:t>£851 (78%)</w:t>
            </w:r>
          </w:p>
        </w:tc>
        <w:tc>
          <w:tcPr>
            <w:tcW w:w="1418"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2C02D2">
              <w:t>£765 (71%)</w:t>
            </w:r>
          </w:p>
        </w:tc>
        <w:tc>
          <w:tcPr>
            <w:tcW w:w="1393" w:type="dxa"/>
            <w:vAlign w:val="top"/>
          </w:tcPr>
          <w:p w:rsidR="00C366CC" w:rsidRDefault="00BE7ED1" w:rsidP="00C366CC">
            <w:pPr>
              <w:cnfStyle w:val="000000000000" w:firstRow="0" w:lastRow="0" w:firstColumn="0" w:lastColumn="0" w:oddVBand="0" w:evenVBand="0" w:oddHBand="0" w:evenHBand="0" w:firstRowFirstColumn="0" w:firstRowLastColumn="0" w:lastRowFirstColumn="0" w:lastRowLastColumn="0"/>
            </w:pPr>
            <w:r w:rsidRPr="002C02D2">
              <w:t>Eurostat + BRES/2011</w:t>
            </w: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2C02D2">
              <w:lastRenderedPageBreak/>
              <w:t>Employment in Professional, Scientific &amp; Technical (% of all jobs)</w:t>
            </w:r>
          </w:p>
        </w:tc>
        <w:tc>
          <w:tcPr>
            <w:tcW w:w="1417"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2C02D2">
              <w:t>5%</w:t>
            </w:r>
          </w:p>
        </w:tc>
        <w:tc>
          <w:tcPr>
            <w:tcW w:w="1559"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2C02D2">
              <w:t>7%</w:t>
            </w:r>
          </w:p>
        </w:tc>
        <w:tc>
          <w:tcPr>
            <w:tcW w:w="1418" w:type="dxa"/>
            <w:vAlign w:val="top"/>
          </w:tcPr>
          <w:p w:rsidR="00C366CC" w:rsidRDefault="00BE7ED1" w:rsidP="0074708B">
            <w:pPr>
              <w:jc w:val="center"/>
              <w:cnfStyle w:val="000000100000" w:firstRow="0" w:lastRow="0" w:firstColumn="0" w:lastColumn="0" w:oddVBand="0" w:evenVBand="0" w:oddHBand="1" w:evenHBand="0" w:firstRowFirstColumn="0" w:firstRowLastColumn="0" w:lastRowFirstColumn="0" w:lastRowLastColumn="0"/>
            </w:pPr>
            <w:r w:rsidRPr="002C02D2">
              <w:t>8% (GB)</w:t>
            </w:r>
          </w:p>
        </w:tc>
        <w:tc>
          <w:tcPr>
            <w:tcW w:w="1393" w:type="dxa"/>
            <w:vAlign w:val="top"/>
          </w:tcPr>
          <w:p w:rsidR="00C366CC" w:rsidRDefault="00BE7ED1" w:rsidP="00C366CC">
            <w:pPr>
              <w:cnfStyle w:val="000000100000" w:firstRow="0" w:lastRow="0" w:firstColumn="0" w:lastColumn="0" w:oddVBand="0" w:evenVBand="0" w:oddHBand="1" w:evenHBand="0" w:firstRowFirstColumn="0" w:firstRowLastColumn="0" w:lastRowFirstColumn="0" w:lastRowLastColumn="0"/>
            </w:pPr>
            <w:r w:rsidRPr="002C02D2">
              <w:t>BRES/2015</w:t>
            </w:r>
          </w:p>
        </w:tc>
      </w:tr>
      <w:tr w:rsidR="00351F99" w:rsidTr="00351F99">
        <w:tc>
          <w:tcPr>
            <w:cnfStyle w:val="001000000000" w:firstRow="0" w:lastRow="0" w:firstColumn="1" w:lastColumn="0" w:oddVBand="0" w:evenVBand="0" w:oddHBand="0" w:evenHBand="0" w:firstRowFirstColumn="0" w:firstRowLastColumn="0" w:lastRowFirstColumn="0" w:lastRowLastColumn="0"/>
            <w:tcW w:w="2694" w:type="dxa"/>
            <w:vAlign w:val="top"/>
          </w:tcPr>
          <w:p w:rsidR="00C366CC" w:rsidRDefault="00BE7ED1" w:rsidP="00C366CC">
            <w:r w:rsidRPr="002C02D2">
              <w:t xml:space="preserve">Residents employed in STEM subjects </w:t>
            </w:r>
          </w:p>
        </w:tc>
        <w:tc>
          <w:tcPr>
            <w:tcW w:w="1417"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2C02D2">
              <w:t>6.2%</w:t>
            </w:r>
          </w:p>
        </w:tc>
        <w:tc>
          <w:tcPr>
            <w:tcW w:w="1559"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2C02D2">
              <w:t>6.9%</w:t>
            </w:r>
          </w:p>
        </w:tc>
        <w:tc>
          <w:tcPr>
            <w:tcW w:w="1418" w:type="dxa"/>
            <w:vAlign w:val="top"/>
          </w:tcPr>
          <w:p w:rsidR="00C366CC" w:rsidRDefault="00BE7ED1" w:rsidP="0074708B">
            <w:pPr>
              <w:jc w:val="center"/>
              <w:cnfStyle w:val="000000000000" w:firstRow="0" w:lastRow="0" w:firstColumn="0" w:lastColumn="0" w:oddVBand="0" w:evenVBand="0" w:oddHBand="0" w:evenHBand="0" w:firstRowFirstColumn="0" w:firstRowLastColumn="0" w:lastRowFirstColumn="0" w:lastRowLastColumn="0"/>
            </w:pPr>
            <w:r w:rsidRPr="002C02D2">
              <w:t>7.2%</w:t>
            </w:r>
          </w:p>
        </w:tc>
        <w:tc>
          <w:tcPr>
            <w:tcW w:w="1393" w:type="dxa"/>
            <w:vAlign w:val="top"/>
          </w:tcPr>
          <w:p w:rsidR="00C366CC" w:rsidRDefault="00BE7ED1" w:rsidP="00C366CC">
            <w:pPr>
              <w:cnfStyle w:val="000000000000" w:firstRow="0" w:lastRow="0" w:firstColumn="0" w:lastColumn="0" w:oddVBand="0" w:evenVBand="0" w:oddHBand="0" w:evenHBand="0" w:firstRowFirstColumn="0" w:firstRowLastColumn="0" w:lastRowFirstColumn="0" w:lastRowLastColumn="0"/>
            </w:pPr>
            <w:r w:rsidRPr="002C02D2">
              <w:t>APS/2014</w:t>
            </w:r>
          </w:p>
        </w:tc>
      </w:tr>
    </w:tbl>
    <w:p w:rsidR="00C366CC" w:rsidRDefault="00BE7ED1" w:rsidP="00991342"/>
    <w:p w:rsidR="005D06CD" w:rsidRPr="00A2772C" w:rsidRDefault="00BE7ED1" w:rsidP="00991342">
      <w:pPr>
        <w:pStyle w:val="NormalNumbered"/>
      </w:pPr>
      <w:r w:rsidRPr="00A2772C">
        <w:t xml:space="preserve">There are positive signs in </w:t>
      </w:r>
      <w:r w:rsidRPr="00A2772C">
        <w:t xml:space="preserve">Graduate Retention </w:t>
      </w:r>
      <w:r w:rsidRPr="00A2772C">
        <w:t>rates in the short term, as a higher proportion of graduates remain in the area six months after graduating compared to the national average. The proportion of undergraduates studying</w:t>
      </w:r>
      <w:r w:rsidRPr="00A2772C">
        <w:t xml:space="preserve"> STEM subjects is in line with the regional and national picture, suggesting that Lancashire is attracting and retaining graduates in key subjects.</w:t>
      </w:r>
      <w:r w:rsidRPr="00A2772C">
        <w:t xml:space="preserve"> Private sector</w:t>
      </w:r>
      <w:r w:rsidRPr="00A2772C">
        <w:t xml:space="preserve"> R&amp;D per employee is less than half the national average</w:t>
      </w:r>
      <w:r>
        <w:t>,</w:t>
      </w:r>
      <w:r w:rsidRPr="00A2772C">
        <w:t xml:space="preserve"> </w:t>
      </w:r>
      <w:r w:rsidRPr="00C47366">
        <w:rPr>
          <w:noProof/>
        </w:rPr>
        <w:t>however</w:t>
      </w:r>
      <w:r w:rsidRPr="00A2772C">
        <w:t>, which could indicate either</w:t>
      </w:r>
      <w:r w:rsidRPr="00A2772C">
        <w:t xml:space="preserve"> a low take-up of R&amp;D tax credits by Lancashire businesses or that simply not enough is being spent on private sector R&amp;D in Lancashire.</w:t>
      </w:r>
    </w:p>
    <w:p w:rsidR="00E95B24" w:rsidRPr="00A2772C" w:rsidRDefault="00BE7ED1" w:rsidP="005D06CD">
      <w:pPr>
        <w:pStyle w:val="NormalNumbered"/>
      </w:pPr>
      <w:r w:rsidRPr="00A2772C">
        <w:t xml:space="preserve">The </w:t>
      </w:r>
      <w:r w:rsidRPr="00A2772C">
        <w:rPr>
          <w:i/>
        </w:rPr>
        <w:t>Research Excellence Framework 2014</w:t>
      </w:r>
      <w:r w:rsidRPr="00A2772C">
        <w:t xml:space="preserve"> </w:t>
      </w:r>
      <w:r w:rsidRPr="00A2772C">
        <w:t>showed</w:t>
      </w:r>
      <w:r w:rsidRPr="00A2772C">
        <w:t xml:space="preserve"> that the County’s HEIs have significant research strengths in several are</w:t>
      </w:r>
      <w:r w:rsidRPr="00A2772C">
        <w:t xml:space="preserve">as. </w:t>
      </w:r>
      <w:r w:rsidRPr="00A2772C">
        <w:t>The</w:t>
      </w:r>
      <w:r w:rsidRPr="00A2772C">
        <w:t xml:space="preserve"> following subjects were highlighted as being highly rated:</w:t>
      </w:r>
    </w:p>
    <w:p w:rsidR="00472D11" w:rsidRPr="00A2772C" w:rsidRDefault="00BE7ED1" w:rsidP="0099678C">
      <w:pPr>
        <w:pStyle w:val="ListBullet"/>
      </w:pPr>
      <w:r>
        <w:t>Allied Health Professions;</w:t>
      </w:r>
    </w:p>
    <w:p w:rsidR="00472D11" w:rsidRPr="00A2772C" w:rsidRDefault="00BE7ED1" w:rsidP="0099678C">
      <w:pPr>
        <w:pStyle w:val="ListBullet"/>
      </w:pPr>
      <w:r w:rsidRPr="00A2772C">
        <w:t>Chemistry;</w:t>
      </w:r>
    </w:p>
    <w:p w:rsidR="00472D11" w:rsidRPr="00A2772C" w:rsidRDefault="00BE7ED1" w:rsidP="0099678C">
      <w:pPr>
        <w:pStyle w:val="ListBullet"/>
      </w:pPr>
      <w:r w:rsidRPr="00A2772C">
        <w:t>Computer Science;</w:t>
      </w:r>
    </w:p>
    <w:p w:rsidR="00472D11" w:rsidRPr="00A2772C" w:rsidRDefault="00BE7ED1" w:rsidP="0099678C">
      <w:pPr>
        <w:pStyle w:val="ListBullet"/>
      </w:pPr>
      <w:r w:rsidRPr="00A2772C">
        <w:t xml:space="preserve">Earth Systems and Environmental Sciences; </w:t>
      </w:r>
    </w:p>
    <w:p w:rsidR="00472D11" w:rsidRPr="00A2772C" w:rsidRDefault="00BE7ED1" w:rsidP="0099678C">
      <w:pPr>
        <w:pStyle w:val="ListBullet"/>
      </w:pPr>
      <w:r w:rsidRPr="00A2772C">
        <w:t>General Engineering;</w:t>
      </w:r>
    </w:p>
    <w:p w:rsidR="00472D11" w:rsidRPr="00A2772C" w:rsidRDefault="00BE7ED1" w:rsidP="0099678C">
      <w:pPr>
        <w:pStyle w:val="ListBullet"/>
      </w:pPr>
      <w:r w:rsidRPr="00A2772C">
        <w:t>Mathematical Science;</w:t>
      </w:r>
      <w:r w:rsidRPr="00472D11">
        <w:t xml:space="preserve"> </w:t>
      </w:r>
      <w:r w:rsidRPr="00A2772C">
        <w:t>and</w:t>
      </w:r>
    </w:p>
    <w:p w:rsidR="00472D11" w:rsidRPr="00A2772C" w:rsidRDefault="00BE7ED1" w:rsidP="0099678C">
      <w:pPr>
        <w:pStyle w:val="ListBullet"/>
      </w:pPr>
      <w:r>
        <w:t>Physics.</w:t>
      </w:r>
    </w:p>
    <w:p w:rsidR="005D06CD" w:rsidRPr="00A2772C" w:rsidRDefault="00BE7ED1" w:rsidP="005D06CD">
      <w:pPr>
        <w:pStyle w:val="NormalNumbered"/>
      </w:pPr>
      <w:r w:rsidRPr="00A2772C">
        <w:t>Patent data provide one of several</w:t>
      </w:r>
      <w:r w:rsidRPr="00A2772C">
        <w:t xml:space="preserve"> indicators of innovation performance, but is subject to biases and limitations created principally by differences between industries in the ‘propensity to patent’. This means that the u</w:t>
      </w:r>
      <w:r w:rsidRPr="00A2772C">
        <w:t>sefulness</w:t>
      </w:r>
      <w:r w:rsidRPr="00A2772C">
        <w:t xml:space="preserve"> of patents as a measure of innovation emphasis across differ</w:t>
      </w:r>
      <w:r w:rsidRPr="00A2772C">
        <w:t>ent LEPs is limited by the extent to which industries protect their intellectual property using patents. This limitation is however consistent across all LEPs. Firm-specific propensities to patent are commonly assumed to be a weaker source of bias than ind</w:t>
      </w:r>
      <w:r w:rsidRPr="00A2772C">
        <w:t>ustry-specific sources.</w:t>
      </w:r>
    </w:p>
    <w:p w:rsidR="005D06CD" w:rsidRPr="00A2772C" w:rsidRDefault="00BE7ED1" w:rsidP="005D06CD">
      <w:pPr>
        <w:pStyle w:val="NormalNumbered"/>
      </w:pPr>
      <w:r w:rsidRPr="00A2772C">
        <w:t>Through analysis of patent applications data kindly provided by the Intellectual Property Office (IPO), Lancashire’s strong emphasis on Civil Engineering patents stands out. This is broadly in line</w:t>
      </w:r>
      <w:r w:rsidRPr="00A2772C">
        <w:t xml:space="preserve"> with</w:t>
      </w:r>
      <w:r w:rsidRPr="00A2772C">
        <w:t>, but much higher than, the em</w:t>
      </w:r>
      <w:r w:rsidRPr="00A2772C">
        <w:t>phasis on both the rest of the Northern Powerhouse LEPs and all LEPs. Other noteworthy aspects</w:t>
      </w:r>
      <w:r>
        <w:t>,</w:t>
      </w:r>
      <w:r w:rsidRPr="00A2772C">
        <w:t xml:space="preserve"> are prominence in mechanical elements and in thermal processes and apparatus.</w:t>
      </w:r>
      <w:r w:rsidRPr="00A2772C">
        <w:t xml:space="preserve"> </w:t>
      </w:r>
      <w:r w:rsidRPr="00A2772C">
        <w:t>These areas show relatively high levels of patenting activity in Lancashire.</w:t>
      </w:r>
    </w:p>
    <w:p w:rsidR="002602D2" w:rsidRPr="00A2772C" w:rsidRDefault="00BE7ED1" w:rsidP="0074708B">
      <w:pPr>
        <w:pStyle w:val="Heading1"/>
        <w:framePr w:wrap="notBeside"/>
      </w:pPr>
      <w:bookmarkStart w:id="89" w:name="_Ref508723562"/>
      <w:bookmarkStart w:id="90" w:name="_Toc508803084"/>
      <w:r w:rsidRPr="00A2772C">
        <w:lastRenderedPageBreak/>
        <w:t>Lanca</w:t>
      </w:r>
      <w:r w:rsidRPr="00A2772C">
        <w:t>shire’s Innovation Ecosystem</w:t>
      </w:r>
      <w:bookmarkEnd w:id="89"/>
      <w:bookmarkEnd w:id="90"/>
    </w:p>
    <w:p w:rsidR="00275903" w:rsidRPr="00275903" w:rsidRDefault="00BE7ED1" w:rsidP="00275903">
      <w:pPr>
        <w:pStyle w:val="PullQuote"/>
      </w:pPr>
      <w:r>
        <w:t xml:space="preserve">This </w:t>
      </w:r>
      <w:r>
        <w:t xml:space="preserve">Section </w:t>
      </w:r>
      <w:r>
        <w:t>sets out the strengths, weaknesses, opportunities, and threats (SWOT) assessment of the Lancashire innovation ecosystem</w:t>
      </w:r>
    </w:p>
    <w:p w:rsidR="002D2D26" w:rsidRPr="00A2772C" w:rsidRDefault="00BE7ED1" w:rsidP="002D2D26">
      <w:pPr>
        <w:pStyle w:val="NormalNumbered"/>
      </w:pPr>
      <w:r w:rsidRPr="00A2772C">
        <w:rPr>
          <w:bCs/>
        </w:rPr>
        <w:t xml:space="preserve">Through a range of </w:t>
      </w:r>
      <w:r w:rsidRPr="00A2772C">
        <w:rPr>
          <w:bCs/>
        </w:rPr>
        <w:t xml:space="preserve">stakeholder </w:t>
      </w:r>
      <w:r w:rsidRPr="00A2772C">
        <w:rPr>
          <w:bCs/>
        </w:rPr>
        <w:t xml:space="preserve">consultations, data analysis, </w:t>
      </w:r>
      <w:r w:rsidRPr="00A2772C">
        <w:rPr>
          <w:bCs/>
        </w:rPr>
        <w:t>and a review of over 40 documents</w:t>
      </w:r>
      <w:r w:rsidRPr="00A2772C">
        <w:rPr>
          <w:bCs/>
        </w:rPr>
        <w:t xml:space="preserve"> received via a ‘Call for Evidence’, this section will present the strengths, weaknesses, opportunities, and threats</w:t>
      </w:r>
      <w:r w:rsidRPr="00A2772C">
        <w:rPr>
          <w:bCs/>
        </w:rPr>
        <w:t xml:space="preserve"> (SWOT)</w:t>
      </w:r>
      <w:r w:rsidRPr="00A2772C">
        <w:rPr>
          <w:bCs/>
        </w:rPr>
        <w:t xml:space="preserve"> for</w:t>
      </w:r>
      <w:r w:rsidRPr="00A2772C">
        <w:rPr>
          <w:bCs/>
        </w:rPr>
        <w:t xml:space="preserve"> innovation in</w:t>
      </w:r>
      <w:r w:rsidRPr="00A2772C">
        <w:rPr>
          <w:bCs/>
        </w:rPr>
        <w:t xml:space="preserve"> Lancashire</w:t>
      </w:r>
      <w:r w:rsidRPr="00A2772C">
        <w:rPr>
          <w:bCs/>
        </w:rPr>
        <w:t xml:space="preserve">. </w:t>
      </w:r>
    </w:p>
    <w:p w:rsidR="00775074" w:rsidRPr="00A2772C" w:rsidRDefault="00BE7ED1" w:rsidP="00810FE7">
      <w:pPr>
        <w:pStyle w:val="NormalNumbered"/>
      </w:pPr>
      <w:r w:rsidRPr="00A2772C">
        <w:t xml:space="preserve">The SWOT was conducted through four lenses. </w:t>
      </w:r>
      <w:r w:rsidRPr="00A2772C">
        <w:t>These are:</w:t>
      </w:r>
    </w:p>
    <w:p w:rsidR="00786711" w:rsidRPr="00A2772C" w:rsidRDefault="00BE7ED1" w:rsidP="00786711">
      <w:pPr>
        <w:pStyle w:val="ListBullet"/>
      </w:pPr>
      <w:r w:rsidRPr="00A2772C">
        <w:t xml:space="preserve">People/Human Capital – covering demographics, </w:t>
      </w:r>
      <w:r w:rsidRPr="00A2772C">
        <w:t>mindsets, skills and occupation offer, education, and access to work;</w:t>
      </w:r>
    </w:p>
    <w:p w:rsidR="00786711" w:rsidRPr="00A2772C" w:rsidRDefault="00BE7ED1" w:rsidP="00786711">
      <w:pPr>
        <w:pStyle w:val="ListBullet"/>
      </w:pPr>
      <w:r w:rsidRPr="00A2772C">
        <w:t xml:space="preserve">Infrastructure/Assets – covering </w:t>
      </w:r>
      <w:r>
        <w:t>sites, premises</w:t>
      </w:r>
      <w:r w:rsidRPr="00A2772C">
        <w:t xml:space="preserve">, </w:t>
      </w:r>
      <w:r>
        <w:t xml:space="preserve"> (and the </w:t>
      </w:r>
      <w:r w:rsidRPr="00A2772C">
        <w:t>cost</w:t>
      </w:r>
      <w:r>
        <w:t xml:space="preserve"> and location of these)</w:t>
      </w:r>
      <w:r w:rsidRPr="00A2772C">
        <w:t xml:space="preserve">, housing, environment, transport, </w:t>
      </w:r>
      <w:r>
        <w:t xml:space="preserve">and </w:t>
      </w:r>
      <w:r>
        <w:t>national strategic infrastructures (d</w:t>
      </w:r>
      <w:r>
        <w:t>igital</w:t>
      </w:r>
      <w:r w:rsidRPr="00A2772C">
        <w:t>/</w:t>
      </w:r>
      <w:r>
        <w:t>e</w:t>
      </w:r>
      <w:r>
        <w:t>nergy</w:t>
      </w:r>
      <w:r w:rsidRPr="00A2772C">
        <w:t>/</w:t>
      </w:r>
      <w:r>
        <w:t>w</w:t>
      </w:r>
      <w:r w:rsidRPr="00A2772C">
        <w:t>aste</w:t>
      </w:r>
      <w:r w:rsidRPr="00A2772C">
        <w:t>/</w:t>
      </w:r>
      <w:r>
        <w:t>w</w:t>
      </w:r>
      <w:r w:rsidRPr="00A2772C">
        <w:t>at</w:t>
      </w:r>
      <w:r w:rsidRPr="00A2772C">
        <w:t>er</w:t>
      </w:r>
      <w:r w:rsidRPr="00A2772C">
        <w:t>/flood risk</w:t>
      </w:r>
      <w:r>
        <w:t xml:space="preserve">); </w:t>
      </w:r>
    </w:p>
    <w:p w:rsidR="00786711" w:rsidRPr="00A2772C" w:rsidRDefault="00BE7ED1" w:rsidP="00786711">
      <w:pPr>
        <w:pStyle w:val="ListBullet"/>
      </w:pPr>
      <w:r w:rsidRPr="00A2772C">
        <w:t>Knowledge – covering Further and Higher Education, research institutions, innovation systems, networks, and commercialisation processes; and</w:t>
      </w:r>
    </w:p>
    <w:p w:rsidR="00A968A8" w:rsidRPr="00A2772C" w:rsidRDefault="00BE7ED1" w:rsidP="00A66B82">
      <w:pPr>
        <w:pStyle w:val="ListBullet"/>
      </w:pPr>
      <w:r w:rsidRPr="00A2772C">
        <w:t>Money and External Business Expertise – covering access to finance, accounting and legal professio</w:t>
      </w:r>
      <w:r w:rsidRPr="00A2772C">
        <w:t>ns, intellectual property management, and marketing.</w:t>
      </w:r>
    </w:p>
    <w:p w:rsidR="002602D2" w:rsidRPr="00A2772C" w:rsidRDefault="00BE7ED1" w:rsidP="002D2D26">
      <w:pPr>
        <w:pStyle w:val="Heading2"/>
      </w:pPr>
      <w:bookmarkStart w:id="91" w:name="_Toc502674264"/>
      <w:bookmarkStart w:id="92" w:name="_Toc502734607"/>
      <w:bookmarkStart w:id="93" w:name="_Toc502744320"/>
      <w:bookmarkStart w:id="94" w:name="_Toc504469781"/>
      <w:bookmarkStart w:id="95" w:name="_Toc504490221"/>
      <w:bookmarkStart w:id="96" w:name="_Toc504563070"/>
      <w:bookmarkStart w:id="97" w:name="_Toc505073269"/>
      <w:bookmarkStart w:id="98" w:name="_Toc505073764"/>
      <w:bookmarkStart w:id="99" w:name="_Toc508803085"/>
      <w:r w:rsidRPr="00A2772C">
        <w:t>Strengths</w:t>
      </w:r>
      <w:bookmarkEnd w:id="91"/>
      <w:bookmarkEnd w:id="92"/>
      <w:bookmarkEnd w:id="93"/>
      <w:bookmarkEnd w:id="94"/>
      <w:bookmarkEnd w:id="95"/>
      <w:bookmarkEnd w:id="96"/>
      <w:bookmarkEnd w:id="97"/>
      <w:bookmarkEnd w:id="98"/>
      <w:bookmarkEnd w:id="99"/>
    </w:p>
    <w:p w:rsidR="00FC75E4" w:rsidRPr="00A2772C" w:rsidRDefault="00BE7ED1" w:rsidP="002B5262">
      <w:pPr>
        <w:pStyle w:val="NormalNumbered"/>
      </w:pPr>
      <w:r w:rsidRPr="00A2772C">
        <w:t xml:space="preserve">Lancashire has well established and recognised strengths in the Aerospace, Automotive, Energy, Nuclear, Digital, and Health Innovation sectors. </w:t>
      </w:r>
      <w:r w:rsidRPr="00A2772C">
        <w:t>There</w:t>
      </w:r>
      <w:r w:rsidRPr="00A2772C">
        <w:t xml:space="preserve"> are </w:t>
      </w:r>
      <w:r w:rsidRPr="00A2772C">
        <w:t>strengths</w:t>
      </w:r>
      <w:r w:rsidRPr="00A2772C">
        <w:t xml:space="preserve"> in biological sciences, </w:t>
      </w:r>
      <w:r>
        <w:t xml:space="preserve">Life </w:t>
      </w:r>
      <w:r>
        <w:t>Science</w:t>
      </w:r>
      <w:r w:rsidRPr="00A2772C">
        <w:t xml:space="preserve">s and </w:t>
      </w:r>
      <w:r>
        <w:t>Healthcare</w:t>
      </w:r>
      <w:r w:rsidRPr="00A2772C">
        <w:t xml:space="preserve">, </w:t>
      </w:r>
      <w:r>
        <w:t>Advanced Manufact</w:t>
      </w:r>
      <w:r w:rsidRPr="00A2772C">
        <w:t xml:space="preserve">uring and materials, and </w:t>
      </w:r>
      <w:r>
        <w:t>Digital.</w:t>
      </w:r>
      <w:r w:rsidRPr="00A2772C">
        <w:t xml:space="preserve"> Protecting, enhancing, and diffusing these strengths across their supply chains and across sectors will be a key feature of the</w:t>
      </w:r>
      <w:r w:rsidRPr="00A2772C">
        <w:t xml:space="preserve"> future</w:t>
      </w:r>
      <w:r w:rsidRPr="00A2772C">
        <w:t xml:space="preserve"> innovation landscape in Lancashire.</w:t>
      </w:r>
    </w:p>
    <w:p w:rsidR="00CE39D0" w:rsidRPr="00A2772C" w:rsidRDefault="00BE7ED1" w:rsidP="00CE39D0">
      <w:pPr>
        <w:pStyle w:val="NormalNumbered"/>
      </w:pPr>
      <w:r w:rsidRPr="00A2772C">
        <w:t>The local</w:t>
      </w:r>
      <w:r w:rsidRPr="00A2772C">
        <w:t xml:space="preserve"> HEIs have research strengths in STEM subjects,</w:t>
      </w:r>
      <w:r w:rsidRPr="00A2772C">
        <w:t xml:space="preserve"> in </w:t>
      </w:r>
      <w:r w:rsidRPr="0074708B">
        <w:rPr>
          <w:noProof/>
        </w:rPr>
        <w:t>particular</w:t>
      </w:r>
      <w:r>
        <w:rPr>
          <w:noProof/>
        </w:rPr>
        <w:t>,</w:t>
      </w:r>
      <w:r w:rsidRPr="00A2772C">
        <w:t xml:space="preserve"> Computer Science, Mathematical Science, and General Engineering,</w:t>
      </w:r>
      <w:r w:rsidRPr="00A2772C">
        <w:t xml:space="preserve"> and provide significant research and consultancy services (with a total income of £26m from contract research and consultancy se</w:t>
      </w:r>
      <w:r w:rsidRPr="00A2772C">
        <w:t>rvices across the four HEIs in 2015/16). There are translational research centres such as the Engineering Innovation Centre</w:t>
      </w:r>
      <w:r w:rsidRPr="00A2772C">
        <w:t xml:space="preserve"> at UCL</w:t>
      </w:r>
      <w:r>
        <w:t>an</w:t>
      </w:r>
      <w:r w:rsidRPr="00A2772C">
        <w:t>, the North West Advanced Manufacturing Research Centre at Samlesbury,</w:t>
      </w:r>
      <w:r w:rsidRPr="00A2772C">
        <w:t xml:space="preserve"> and the forthcoming Lancaster Health Innovation Campu</w:t>
      </w:r>
      <w:r w:rsidRPr="00A2772C">
        <w:t>s which can be catalysts for research development and adoption across the local economy and beyond.</w:t>
      </w:r>
    </w:p>
    <w:p w:rsidR="00CE39D0" w:rsidRPr="00A2772C" w:rsidRDefault="00BE7ED1" w:rsidP="00CE39D0">
      <w:pPr>
        <w:pStyle w:val="NormalNumbered"/>
      </w:pPr>
      <w:r w:rsidRPr="00A2772C">
        <w:t xml:space="preserve">Graduate retention rates are </w:t>
      </w:r>
      <w:r w:rsidRPr="00A2772C">
        <w:t>good</w:t>
      </w:r>
      <w:r w:rsidRPr="00A2772C">
        <w:t xml:space="preserve"> in Lancashire, and strong Further and Higher Education provision is starting to show in the improving rates of residents w</w:t>
      </w:r>
      <w:r w:rsidRPr="00A2772C">
        <w:t xml:space="preserve">ith higher level skills. </w:t>
      </w:r>
      <w:r w:rsidRPr="00A2772C">
        <w:lastRenderedPageBreak/>
        <w:t xml:space="preserve">Maintaining and continually improving these will be key </w:t>
      </w:r>
      <w:r>
        <w:rPr>
          <w:noProof/>
        </w:rPr>
        <w:t>to</w:t>
      </w:r>
      <w:r w:rsidRPr="00A2772C">
        <w:t xml:space="preserve"> ensuring a pipeline of talent to support Lancashire’s businesses and innovation capabilities.</w:t>
      </w:r>
    </w:p>
    <w:p w:rsidR="00CE39D0" w:rsidRPr="00A2772C" w:rsidRDefault="00BE7ED1" w:rsidP="00CE39D0">
      <w:pPr>
        <w:pStyle w:val="NormalNumbered"/>
      </w:pPr>
      <w:r w:rsidRPr="00A2772C">
        <w:t>Analysis of</w:t>
      </w:r>
      <w:r w:rsidRPr="00A2772C">
        <w:t xml:space="preserve"> the</w:t>
      </w:r>
      <w:r w:rsidRPr="00A2772C">
        <w:t xml:space="preserve"> IPO patenting data indicates </w:t>
      </w:r>
      <w:r w:rsidRPr="00A2772C">
        <w:t>strong intellectual property adva</w:t>
      </w:r>
      <w:r w:rsidRPr="00A2772C">
        <w:t>nces</w:t>
      </w:r>
      <w:r w:rsidRPr="00A2772C">
        <w:t xml:space="preserve"> in areas such as Civil Engineering, M</w:t>
      </w:r>
      <w:r w:rsidRPr="00A2772C">
        <w:t xml:space="preserve">echanical </w:t>
      </w:r>
      <w:r w:rsidRPr="00A2772C">
        <w:t>Elements, Medical and Computer Technology, and T</w:t>
      </w:r>
      <w:r w:rsidRPr="00A2772C">
        <w:t>he</w:t>
      </w:r>
      <w:r w:rsidRPr="00A2772C">
        <w:t>rmal P</w:t>
      </w:r>
      <w:r w:rsidRPr="00A2772C">
        <w:t>rocesses.</w:t>
      </w:r>
      <w:r w:rsidRPr="00A2772C">
        <w:t xml:space="preserve"> Ongoing analysis of patenting data can provide an indication of emerging innovation specialisms</w:t>
      </w:r>
      <w:r w:rsidRPr="00A2772C">
        <w:t xml:space="preserve"> and differentiators. Providing s</w:t>
      </w:r>
      <w:r w:rsidRPr="00A2772C">
        <w:t>upport for</w:t>
      </w:r>
      <w:r w:rsidRPr="00A2772C">
        <w:t xml:space="preserve"> businesses in generating and managing their intellectual property </w:t>
      </w:r>
      <w:r w:rsidRPr="00A2772C">
        <w:t>c</w:t>
      </w:r>
      <w:r w:rsidRPr="00A2772C">
        <w:t>an help them to protect their intellectual property assets and maximise the value from them</w:t>
      </w:r>
      <w:r w:rsidRPr="00A2772C">
        <w:t>.</w:t>
      </w:r>
    </w:p>
    <w:p w:rsidR="008D1416" w:rsidRPr="00A2772C" w:rsidRDefault="00BE7ED1" w:rsidP="008D1416">
      <w:pPr>
        <w:pStyle w:val="Caption"/>
      </w:pPr>
      <w:bookmarkStart w:id="100" w:name="_Ref502740497"/>
      <w:bookmarkStart w:id="101" w:name="_Toc508803162"/>
      <w:r w:rsidRPr="00A2772C">
        <w:t xml:space="preserve">Figure </w:t>
      </w:r>
      <w:r>
        <w:fldChar w:fldCharType="begin"/>
      </w:r>
      <w:r>
        <w:instrText xml:space="preserve"> SEQ Figure \* ARABIC </w:instrText>
      </w:r>
      <w:r>
        <w:fldChar w:fldCharType="separate"/>
      </w:r>
      <w:r>
        <w:rPr>
          <w:noProof/>
        </w:rPr>
        <w:t>4</w:t>
      </w:r>
      <w:r>
        <w:rPr>
          <w:noProof/>
        </w:rPr>
        <w:fldChar w:fldCharType="end"/>
      </w:r>
      <w:bookmarkEnd w:id="100"/>
      <w:r w:rsidRPr="00A2772C">
        <w:t xml:space="preserve"> – Lancashire Innovation Asset Map</w:t>
      </w:r>
      <w:bookmarkEnd w:id="101"/>
    </w:p>
    <w:p w:rsidR="0040306E" w:rsidRPr="00A2772C" w:rsidRDefault="00BE7ED1" w:rsidP="0040306E">
      <w:pPr>
        <w:pStyle w:val="NormalNumbered"/>
        <w:numPr>
          <w:ilvl w:val="0"/>
          <w:numId w:val="0"/>
        </w:numPr>
      </w:pPr>
      <w:r w:rsidRPr="00A2772C">
        <w:rPr>
          <w:noProof/>
          <w:lang w:eastAsia="en-GB"/>
        </w:rPr>
        <w:drawing>
          <wp:inline distT="0" distB="0" distL="0" distR="0">
            <wp:extent cx="5385435" cy="6105525"/>
            <wp:effectExtent l="19050" t="19050" r="2476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5435" cy="6105525"/>
                    </a:xfrm>
                    <a:prstGeom prst="rect">
                      <a:avLst/>
                    </a:prstGeom>
                    <a:ln>
                      <a:solidFill>
                        <a:schemeClr val="tx2"/>
                      </a:solidFill>
                    </a:ln>
                  </pic:spPr>
                </pic:pic>
              </a:graphicData>
            </a:graphic>
          </wp:inline>
        </w:drawing>
      </w:r>
    </w:p>
    <w:p w:rsidR="00865EF8" w:rsidRPr="00A2772C" w:rsidRDefault="00BE7ED1" w:rsidP="0074708B">
      <w:pPr>
        <w:pStyle w:val="Source"/>
      </w:pPr>
      <w:r w:rsidRPr="00865EF8">
        <w:t xml:space="preserve">Source: SDG-Economic </w:t>
      </w:r>
      <w:r w:rsidRPr="00865EF8">
        <w:t>Development</w:t>
      </w:r>
      <w:r>
        <w:t>, 2018</w:t>
      </w:r>
    </w:p>
    <w:p w:rsidR="00691BB5" w:rsidRPr="00A2772C" w:rsidRDefault="00BE7ED1" w:rsidP="00691BB5">
      <w:pPr>
        <w:pStyle w:val="NormalNumbered"/>
      </w:pPr>
      <w:r w:rsidRPr="00A2772C">
        <w:lastRenderedPageBreak/>
        <w:t xml:space="preserve">As </w:t>
      </w:r>
      <w:r w:rsidRPr="00A2772C">
        <w:fldChar w:fldCharType="begin"/>
      </w:r>
      <w:r w:rsidRPr="00A2772C">
        <w:instrText xml:space="preserve"> REF _Ref502740497 \h </w:instrText>
      </w:r>
      <w:r w:rsidRPr="00A2772C">
        <w:fldChar w:fldCharType="separate"/>
      </w:r>
      <w:r w:rsidRPr="00A2772C">
        <w:t xml:space="preserve">Figure </w:t>
      </w:r>
      <w:r>
        <w:rPr>
          <w:noProof/>
        </w:rPr>
        <w:t>4</w:t>
      </w:r>
      <w:r w:rsidRPr="00A2772C">
        <w:fldChar w:fldCharType="end"/>
      </w:r>
      <w:r w:rsidRPr="00A2772C">
        <w:t xml:space="preserve"> above shows, </w:t>
      </w:r>
      <w:r w:rsidRPr="00A2772C">
        <w:t xml:space="preserve">Lancashire also has considerable innovation assets </w:t>
      </w:r>
      <w:r w:rsidRPr="00A2772C">
        <w:t>that can be developed, connec</w:t>
      </w:r>
      <w:r w:rsidRPr="00A2772C">
        <w:t>ted, and utilised to support this Plan’s</w:t>
      </w:r>
      <w:r w:rsidRPr="00A2772C">
        <w:t xml:space="preserve"> inn</w:t>
      </w:r>
      <w:r w:rsidRPr="00A2772C">
        <w:t>ovation agenda.</w:t>
      </w:r>
      <w:r w:rsidRPr="00A2772C">
        <w:t xml:space="preserve"> </w:t>
      </w:r>
      <w:r w:rsidRPr="00A2772C">
        <w:t>As part of this Plan’s preparation</w:t>
      </w:r>
      <w:r w:rsidRPr="00A2772C">
        <w:t xml:space="preserve">, an asset mapping exercise was undertaken through consultation with stakeholders. </w:t>
      </w:r>
      <w:r w:rsidRPr="00A2772C">
        <w:t>T</w:t>
      </w:r>
      <w:r>
        <w:t>his map is non-exhaustive, and it is expected that t</w:t>
      </w:r>
      <w:r w:rsidRPr="00A2772C">
        <w:t>he forthcoming Eco-Innovation Science and Innovation Audit will add to</w:t>
      </w:r>
      <w:r w:rsidRPr="00A2772C">
        <w:t xml:space="preserve"> </w:t>
      </w:r>
      <w:r>
        <w:t>it</w:t>
      </w:r>
      <w:r w:rsidRPr="00A2772C">
        <w:t>.</w:t>
      </w:r>
    </w:p>
    <w:p w:rsidR="00B6280E" w:rsidRPr="00A2772C" w:rsidRDefault="00BE7ED1" w:rsidP="005502BB">
      <w:pPr>
        <w:pStyle w:val="NormalNumbered"/>
      </w:pPr>
      <w:r>
        <w:t>The summary of this mapping work, which is set out more fully in Appendix A, was as follows</w:t>
      </w:r>
      <w:r w:rsidRPr="00A2772C">
        <w:t>:</w:t>
      </w:r>
    </w:p>
    <w:p w:rsidR="0096158D" w:rsidRPr="00A2772C" w:rsidRDefault="00BE7ED1" w:rsidP="0096158D">
      <w:pPr>
        <w:pStyle w:val="ListBullet"/>
      </w:pPr>
      <w:r>
        <w:t xml:space="preserve">The County has </w:t>
      </w:r>
      <w:r w:rsidRPr="00A2772C">
        <w:t>5</w:t>
      </w:r>
      <w:r w:rsidRPr="00A2772C">
        <w:t xml:space="preserve">4 assets that </w:t>
      </w:r>
      <w:r>
        <w:t xml:space="preserve">support and enable </w:t>
      </w:r>
      <w:r w:rsidRPr="00A2772C">
        <w:t xml:space="preserve">innovation, </w:t>
      </w:r>
      <w:r>
        <w:t xml:space="preserve">covering </w:t>
      </w:r>
      <w:r w:rsidRPr="00A2772C">
        <w:t>into 16</w:t>
      </w:r>
      <w:r w:rsidRPr="00A2772C">
        <w:t xml:space="preserve"> sectors;</w:t>
      </w:r>
    </w:p>
    <w:p w:rsidR="0096158D" w:rsidRPr="00A2772C" w:rsidRDefault="00BE7ED1" w:rsidP="0096158D">
      <w:pPr>
        <w:pStyle w:val="ListBullet"/>
      </w:pPr>
      <w:r w:rsidRPr="00A2772C">
        <w:t>The most represented sectors include Advanced Manufacturing (1</w:t>
      </w:r>
      <w:r w:rsidRPr="00A2772C">
        <w:t>5</w:t>
      </w:r>
      <w:r w:rsidRPr="00A2772C">
        <w:t>),</w:t>
      </w:r>
      <w:r w:rsidRPr="00A2772C">
        <w:t xml:space="preserve"> Digital (6),</w:t>
      </w:r>
      <w:r w:rsidRPr="00A2772C">
        <w:t xml:space="preserve"> Energ</w:t>
      </w:r>
      <w:r w:rsidRPr="00A2772C">
        <w:t>y (5), Aerospace (5), and Health (5</w:t>
      </w:r>
      <w:r w:rsidRPr="00A2772C">
        <w:t>);</w:t>
      </w:r>
    </w:p>
    <w:p w:rsidR="0096158D" w:rsidRPr="00A2772C" w:rsidRDefault="00BE7ED1" w:rsidP="0096158D">
      <w:pPr>
        <w:pStyle w:val="ListBullet"/>
      </w:pPr>
      <w:r w:rsidRPr="00A2772C">
        <w:t xml:space="preserve">There is a concentration of assets </w:t>
      </w:r>
      <w:r w:rsidRPr="0074708B">
        <w:rPr>
          <w:noProof/>
        </w:rPr>
        <w:t>along</w:t>
      </w:r>
      <w:r w:rsidRPr="00A2772C">
        <w:t xml:space="preserve"> </w:t>
      </w:r>
      <w:r>
        <w:t>the</w:t>
      </w:r>
      <w:r w:rsidRPr="00A2772C">
        <w:t xml:space="preserve"> West to East corridor (M55-M6-M65);</w:t>
      </w:r>
    </w:p>
    <w:p w:rsidR="0096158D" w:rsidRPr="00A2772C" w:rsidRDefault="00BE7ED1" w:rsidP="0096158D">
      <w:pPr>
        <w:pStyle w:val="ListBullet"/>
      </w:pPr>
      <w:r w:rsidRPr="00A2772C">
        <w:t xml:space="preserve">There is a </w:t>
      </w:r>
      <w:r>
        <w:t xml:space="preserve">substantial </w:t>
      </w:r>
      <w:r w:rsidRPr="00A2772C">
        <w:t>concentration of assets</w:t>
      </w:r>
      <w:r w:rsidRPr="00A2772C">
        <w:t xml:space="preserve"> around the Lancaster University</w:t>
      </w:r>
      <w:r w:rsidRPr="00A2772C">
        <w:t xml:space="preserve"> and </w:t>
      </w:r>
      <w:r w:rsidRPr="00C366CC">
        <w:rPr>
          <w:noProof/>
        </w:rPr>
        <w:t>UCL</w:t>
      </w:r>
      <w:r>
        <w:rPr>
          <w:noProof/>
        </w:rPr>
        <w:t>an</w:t>
      </w:r>
      <w:r w:rsidRPr="00A2772C">
        <w:t xml:space="preserve"> Campus</w:t>
      </w:r>
      <w:r w:rsidRPr="00A2772C">
        <w:t>es</w:t>
      </w:r>
      <w:r w:rsidRPr="00A2772C">
        <w:t xml:space="preserve">; </w:t>
      </w:r>
      <w:r>
        <w:t>and</w:t>
      </w:r>
    </w:p>
    <w:p w:rsidR="0096158D" w:rsidRPr="00A2772C" w:rsidRDefault="00BE7ED1" w:rsidP="0096158D">
      <w:pPr>
        <w:pStyle w:val="ListBullet"/>
      </w:pPr>
      <w:r w:rsidRPr="00A2772C">
        <w:t xml:space="preserve">Digital assets appear to be disparately distributed, with no apparent signs </w:t>
      </w:r>
      <w:r>
        <w:t xml:space="preserve">yet </w:t>
      </w:r>
      <w:r w:rsidRPr="00A2772C">
        <w:t>of clustering</w:t>
      </w:r>
      <w:r>
        <w:t>.</w:t>
      </w:r>
    </w:p>
    <w:p w:rsidR="005502BB" w:rsidRPr="00A2772C" w:rsidRDefault="00BE7ED1" w:rsidP="005502BB">
      <w:pPr>
        <w:pStyle w:val="NormalNumbered"/>
      </w:pPr>
      <w:r w:rsidRPr="00A2772C">
        <w:t xml:space="preserve">The key message here is that there are significant innovation assets and areas of innovation strength in Lancashire. These need to be supported, </w:t>
      </w:r>
      <w:r w:rsidRPr="00C366CC">
        <w:rPr>
          <w:noProof/>
        </w:rPr>
        <w:t>developed</w:t>
      </w:r>
      <w:r w:rsidRPr="00A2772C">
        <w:t xml:space="preserve"> and ex</w:t>
      </w:r>
      <w:r w:rsidRPr="00A2772C">
        <w:t>panded to ensure these stay ahead of the competition and play a greater role in innovation and productivity in Lancashire.</w:t>
      </w:r>
    </w:p>
    <w:p w:rsidR="002602D2" w:rsidRPr="00A2772C" w:rsidRDefault="00BE7ED1" w:rsidP="00FC75E4">
      <w:pPr>
        <w:pStyle w:val="Heading2"/>
      </w:pPr>
      <w:bookmarkStart w:id="102" w:name="_Toc502674265"/>
      <w:bookmarkStart w:id="103" w:name="_Toc502734608"/>
      <w:bookmarkStart w:id="104" w:name="_Toc502744321"/>
      <w:bookmarkStart w:id="105" w:name="_Toc504469782"/>
      <w:bookmarkStart w:id="106" w:name="_Toc504490222"/>
      <w:bookmarkStart w:id="107" w:name="_Toc504563071"/>
      <w:bookmarkStart w:id="108" w:name="_Toc505073270"/>
      <w:bookmarkStart w:id="109" w:name="_Toc505073765"/>
      <w:bookmarkStart w:id="110" w:name="_Toc508803086"/>
      <w:r w:rsidRPr="00A2772C">
        <w:t>Weaknesses</w:t>
      </w:r>
      <w:bookmarkEnd w:id="102"/>
      <w:bookmarkEnd w:id="103"/>
      <w:bookmarkEnd w:id="104"/>
      <w:bookmarkEnd w:id="105"/>
      <w:bookmarkEnd w:id="106"/>
      <w:bookmarkEnd w:id="107"/>
      <w:bookmarkEnd w:id="108"/>
      <w:bookmarkEnd w:id="109"/>
      <w:bookmarkEnd w:id="110"/>
    </w:p>
    <w:p w:rsidR="00FC75E4" w:rsidRPr="00A2772C" w:rsidRDefault="00BE7ED1" w:rsidP="00FC75E4">
      <w:pPr>
        <w:pStyle w:val="NormalNumbered"/>
      </w:pPr>
      <w:r w:rsidRPr="00A2772C">
        <w:t>The productivity gap (Lancashire is at 83% of the UK’s level of GVA per worker</w:t>
      </w:r>
      <w:r w:rsidRPr="00A2772C">
        <w:t>, and 93% the level of the UK excluding Lond</w:t>
      </w:r>
      <w:r w:rsidRPr="00A2772C">
        <w:t>on and the South East</w:t>
      </w:r>
      <w:r w:rsidRPr="00A2772C">
        <w:t>), and relatively slow GVA growth are long-standing challenges</w:t>
      </w:r>
      <w:r w:rsidRPr="00A2772C">
        <w:t xml:space="preserve"> in the area</w:t>
      </w:r>
      <w:r w:rsidRPr="00A2772C">
        <w:t>.</w:t>
      </w:r>
      <w:r>
        <w:t xml:space="preserve"> </w:t>
      </w:r>
      <w:r w:rsidRPr="00A2772C">
        <w:t>Lancashire is not unique in this regard.</w:t>
      </w:r>
      <w:r w:rsidRPr="00A2772C">
        <w:t xml:space="preserve"> The focus on the average can mask areas of high value-added businesses, particularly in </w:t>
      </w:r>
      <w:r>
        <w:t>Advanced Manufact</w:t>
      </w:r>
      <w:r w:rsidRPr="00A2772C">
        <w:t>uring.</w:t>
      </w:r>
      <w:r w:rsidRPr="00A2772C">
        <w:t xml:space="preserve"> </w:t>
      </w:r>
      <w:r>
        <w:t>In add</w:t>
      </w:r>
      <w:r>
        <w:t>ition, a</w:t>
      </w:r>
      <w:r w:rsidRPr="00A2772C">
        <w:t xml:space="preserve"> lack of inward investment and new office space in key centres </w:t>
      </w:r>
      <w:r w:rsidRPr="00A2772C">
        <w:t>has prevented the development of a high performing service sector based around a regional centre, a challenge compounded by Lancashire’s geography and location.</w:t>
      </w:r>
    </w:p>
    <w:p w:rsidR="00FD0A01" w:rsidRPr="00A2772C" w:rsidRDefault="00BE7ED1" w:rsidP="00FD0A01">
      <w:pPr>
        <w:pStyle w:val="NormalNumbered"/>
      </w:pPr>
      <w:r w:rsidRPr="00A2772C">
        <w:t>L</w:t>
      </w:r>
      <w:r w:rsidRPr="00A2772C">
        <w:t>arger businesses are we</w:t>
      </w:r>
      <w:r w:rsidRPr="00A2772C">
        <w:t xml:space="preserve">ll connected to higher level skills and export opportunities, </w:t>
      </w:r>
      <w:r w:rsidRPr="00A2772C">
        <w:t>SME connectivity to talent and</w:t>
      </w:r>
      <w:r w:rsidRPr="00A2772C">
        <w:t xml:space="preserve"> </w:t>
      </w:r>
      <w:r w:rsidRPr="00A2772C">
        <w:t xml:space="preserve">international trade opportunities is more limited. This can restrict the survival chances and growth of smaller businesses. This also contributes to the current </w:t>
      </w:r>
      <w:r w:rsidRPr="00A2772C">
        <w:t>lack of innovation diffusion and the long tail of less innovative companies, which was identified as a national problem in the Industrial Strategy.</w:t>
      </w:r>
    </w:p>
    <w:p w:rsidR="00D66DA7" w:rsidRPr="00A2772C" w:rsidRDefault="00BE7ED1" w:rsidP="002B5262">
      <w:pPr>
        <w:pStyle w:val="NormalNumbered"/>
      </w:pPr>
      <w:r w:rsidRPr="00A2772C">
        <w:t>Although higher level skills are improving, the proportion of residents with NVQ4 (</w:t>
      </w:r>
      <w:r w:rsidRPr="00A2772C">
        <w:t xml:space="preserve">Graduate </w:t>
      </w:r>
      <w:r w:rsidRPr="00A2772C">
        <w:t>level) and above</w:t>
      </w:r>
      <w:r w:rsidRPr="00A2772C">
        <w:t xml:space="preserve"> is still lower than the national rate (32.8% compared to 38.2%). Reducing this gap can play a large role in reducing the productivity gap, as lower level skills are cited as a key factor in productivity deficits.</w:t>
      </w:r>
    </w:p>
    <w:p w:rsidR="002911F1" w:rsidRPr="00A2772C" w:rsidRDefault="00BE7ED1" w:rsidP="002911F1">
      <w:pPr>
        <w:pStyle w:val="NormalNumbered"/>
      </w:pPr>
      <w:r w:rsidRPr="00A2772C">
        <w:t>There is currently a low level of R&amp;D expe</w:t>
      </w:r>
      <w:r w:rsidRPr="00A2772C">
        <w:t xml:space="preserve">nditure per person employed in Lancashire, which is just less than half the national average. This could be due to a lack of take-up in R&amp;D tax credits, particularly in sectors other than </w:t>
      </w:r>
      <w:r w:rsidRPr="00A2772C">
        <w:t>Manufacturing</w:t>
      </w:r>
      <w:r w:rsidRPr="00A2772C">
        <w:t xml:space="preserve">. Large companies often report R&amp;D spend through their </w:t>
      </w:r>
      <w:r w:rsidRPr="00A2772C">
        <w:t xml:space="preserve">headquarters, meaning a large company with a site in Lancashire, even one that primarily focuses on R&amp;D, will be under-reported in terms of R&amp;D spend. This can lead to </w:t>
      </w:r>
      <w:r w:rsidRPr="00A2772C">
        <w:t xml:space="preserve">Lancashire being under-represented in R&amp;D spend </w:t>
      </w:r>
      <w:r w:rsidRPr="00A2772C">
        <w:t>statistics</w:t>
      </w:r>
      <w:r w:rsidRPr="00A2772C">
        <w:t>. How</w:t>
      </w:r>
      <w:r w:rsidRPr="00A2772C">
        <w:t>ever, how</w:t>
      </w:r>
      <w:r w:rsidRPr="00A2772C">
        <w:t xml:space="preserve"> to increase bot</w:t>
      </w:r>
      <w:r w:rsidRPr="00A2772C">
        <w:t>h R&amp;D tax credits take-up and overall private sector R&amp;D investment, in both time and money, is</w:t>
      </w:r>
      <w:r w:rsidRPr="00A2772C">
        <w:t xml:space="preserve"> still</w:t>
      </w:r>
      <w:r w:rsidRPr="00A2772C">
        <w:t xml:space="preserve"> a significant innovation challenge for Lancashire.</w:t>
      </w:r>
    </w:p>
    <w:p w:rsidR="002602D2" w:rsidRPr="00A2772C" w:rsidRDefault="00BE7ED1" w:rsidP="002602D2">
      <w:pPr>
        <w:pStyle w:val="Heading2"/>
      </w:pPr>
      <w:bookmarkStart w:id="111" w:name="_Toc502674266"/>
      <w:bookmarkStart w:id="112" w:name="_Toc502734609"/>
      <w:bookmarkStart w:id="113" w:name="_Toc502744322"/>
      <w:bookmarkStart w:id="114" w:name="_Toc504469783"/>
      <w:bookmarkStart w:id="115" w:name="_Toc504490223"/>
      <w:bookmarkStart w:id="116" w:name="_Toc504563072"/>
      <w:bookmarkStart w:id="117" w:name="_Toc505073271"/>
      <w:bookmarkStart w:id="118" w:name="_Toc505073766"/>
      <w:bookmarkStart w:id="119" w:name="_Toc508803087"/>
      <w:r w:rsidRPr="00A2772C">
        <w:lastRenderedPageBreak/>
        <w:t>Opportunities</w:t>
      </w:r>
      <w:bookmarkEnd w:id="111"/>
      <w:bookmarkEnd w:id="112"/>
      <w:bookmarkEnd w:id="113"/>
      <w:bookmarkEnd w:id="114"/>
      <w:bookmarkEnd w:id="115"/>
      <w:bookmarkEnd w:id="116"/>
      <w:bookmarkEnd w:id="117"/>
      <w:bookmarkEnd w:id="118"/>
      <w:bookmarkEnd w:id="119"/>
    </w:p>
    <w:p w:rsidR="00FC75E4" w:rsidRPr="00A2772C" w:rsidRDefault="00BE7ED1" w:rsidP="00C47366">
      <w:pPr>
        <w:pStyle w:val="NormalNumbered"/>
      </w:pPr>
      <w:r w:rsidRPr="00A2772C">
        <w:t>Lancashire’s strengths in industries at the forefront of Industry 4.0 mean it is well pla</w:t>
      </w:r>
      <w:r w:rsidRPr="00A2772C">
        <w:t xml:space="preserve">ced to capitalise on the productivity improvements associated with increased automation and </w:t>
      </w:r>
      <w:r w:rsidRPr="00A2772C">
        <w:t xml:space="preserve">adoption of new </w:t>
      </w:r>
      <w:r w:rsidRPr="00A2772C">
        <w:t xml:space="preserve">technology. </w:t>
      </w:r>
      <w:r w:rsidRPr="00A2772C">
        <w:t xml:space="preserve">Developing an innovation corridor in </w:t>
      </w:r>
      <w:r>
        <w:t>Advanced Manufact</w:t>
      </w:r>
      <w:r w:rsidRPr="00A2772C">
        <w:t xml:space="preserve">uring, as recommended by the </w:t>
      </w:r>
      <w:r w:rsidRPr="00C47366">
        <w:t xml:space="preserve">Sheffield City Region and Lancashire </w:t>
      </w:r>
      <w:r w:rsidRPr="00A2772C">
        <w:t>SIA, is</w:t>
      </w:r>
      <w:r w:rsidRPr="00A2772C">
        <w:t xml:space="preserve"> one way </w:t>
      </w:r>
      <w:r w:rsidRPr="00A2772C">
        <w:t>the benefits of Industry 4.0 can be maximised.</w:t>
      </w:r>
    </w:p>
    <w:p w:rsidR="00372F86" w:rsidRPr="00372F86" w:rsidRDefault="00BE7ED1" w:rsidP="00372F86">
      <w:pPr>
        <w:pStyle w:val="NormalNumbered"/>
      </w:pPr>
      <w:r w:rsidRPr="00372F86">
        <w:t>The connectedness and adjacency of several high-tech sectors present real sectoral cross-over opportunities for Lancashire. This is the ways in which the different established activities in Lancashire can be b</w:t>
      </w:r>
      <w:r w:rsidRPr="00372F86">
        <w:t>rought together to drive new innovations. An example of this is how Automotive and Aerospace technology and Digital Systems are integrated to develop autonomous vehicles</w:t>
      </w:r>
      <w:r w:rsidRPr="00372F86">
        <w:t xml:space="preserve">. </w:t>
      </w:r>
      <w:r w:rsidRPr="00372F86">
        <w:t>More recently, Preston was successful in it</w:t>
      </w:r>
      <w:r>
        <w:t>s bid to become a national test-</w:t>
      </w:r>
      <w:r w:rsidRPr="00372F86">
        <w:t>bed for th</w:t>
      </w:r>
      <w:r w:rsidRPr="00372F86">
        <w:t>e UK’s development of drone technology, this building on the work of the ‘Civic Drone Centre’ established by the University of Central Lancashire with a £250k investment in 2014</w:t>
      </w:r>
      <w:r w:rsidRPr="00372F86">
        <w:t xml:space="preserve">. </w:t>
      </w:r>
      <w:r w:rsidRPr="00372F86">
        <w:t>This not-for-profit centre brings together expertise and stakeholders includi</w:t>
      </w:r>
      <w:r w:rsidRPr="00372F86">
        <w:t>ng Local Authorities, communities, and businesses</w:t>
      </w:r>
      <w:r>
        <w:t>,</w:t>
      </w:r>
      <w:r w:rsidRPr="00372F86">
        <w:t xml:space="preserve"> and has developed and demonstrated many novel drone solutions. The </w:t>
      </w:r>
      <w:r w:rsidRPr="00372F86">
        <w:t xml:space="preserve">Centre </w:t>
      </w:r>
      <w:r w:rsidRPr="00372F86">
        <w:t xml:space="preserve">is an important </w:t>
      </w:r>
      <w:r w:rsidRPr="00372F86">
        <w:t>part</w:t>
      </w:r>
      <w:r w:rsidRPr="00372F86">
        <w:t xml:space="preserve"> of the new £32m Engineering Innovation Centre opening in Preston in early 2019.</w:t>
      </w:r>
    </w:p>
    <w:p w:rsidR="00FC75E4" w:rsidRPr="00A2772C" w:rsidRDefault="00BE7ED1" w:rsidP="002B5262">
      <w:pPr>
        <w:pStyle w:val="NormalNumbered"/>
      </w:pPr>
      <w:r w:rsidRPr="00A2772C">
        <w:t xml:space="preserve">As the Industrial Strategy is </w:t>
      </w:r>
      <w:r w:rsidRPr="00A2772C">
        <w:t>being</w:t>
      </w:r>
      <w:r w:rsidRPr="00A2772C">
        <w:t xml:space="preserve"> implemented</w:t>
      </w:r>
      <w:r w:rsidRPr="00A2772C">
        <w:t xml:space="preserve">, there will be opportunities for Lancashire to position itself as a flagship area for </w:t>
      </w:r>
      <w:r w:rsidRPr="00A2772C">
        <w:t xml:space="preserve">some of the key initiatives including </w:t>
      </w:r>
      <w:r w:rsidRPr="0074708B">
        <w:rPr>
          <w:noProof/>
        </w:rPr>
        <w:t>cyber security</w:t>
      </w:r>
      <w:r w:rsidRPr="00A2772C">
        <w:t>, health innovation,</w:t>
      </w:r>
      <w:r w:rsidRPr="00A2772C">
        <w:t xml:space="preserve"> and clean growth. </w:t>
      </w:r>
      <w:r w:rsidRPr="00A2772C">
        <w:t>There will be a need to ensure</w:t>
      </w:r>
      <w:r w:rsidRPr="00A2772C">
        <w:t xml:space="preserve"> Lancashire is </w:t>
      </w:r>
      <w:r w:rsidRPr="00A2772C">
        <w:t>able to</w:t>
      </w:r>
      <w:r w:rsidRPr="00A2772C">
        <w:t xml:space="preserve"> articulate its offer in these areas with an emphasis on innovation.</w:t>
      </w:r>
      <w:r w:rsidRPr="00A2772C">
        <w:t xml:space="preserve"> </w:t>
      </w:r>
      <w:r w:rsidRPr="00A2772C">
        <w:t xml:space="preserve">There have been considerable, and much needed, investment in capital </w:t>
      </w:r>
      <w:r w:rsidRPr="00A2772C">
        <w:t>innovation schemes in Lancashire covering key sectors. The opportunity now is to ensure that these are utilised and t</w:t>
      </w:r>
      <w:r w:rsidRPr="00A2772C">
        <w:t>h</w:t>
      </w:r>
      <w:r w:rsidRPr="00A2772C">
        <w:t>eir effectiveness is maximised,</w:t>
      </w:r>
      <w:r w:rsidRPr="00A2772C">
        <w:t xml:space="preserve"> and</w:t>
      </w:r>
      <w:r w:rsidRPr="00A2772C">
        <w:t xml:space="preserve"> the use of these schemes could be a key selling point for Lancas</w:t>
      </w:r>
      <w:r w:rsidRPr="00A2772C">
        <w:t>hire.</w:t>
      </w:r>
    </w:p>
    <w:p w:rsidR="00C366CC" w:rsidRPr="00A2772C" w:rsidRDefault="00BE7ED1" w:rsidP="0074708B">
      <w:pPr>
        <w:pStyle w:val="NormalNumbered"/>
      </w:pPr>
      <w:r w:rsidRPr="00A2772C">
        <w:t>Partner</w:t>
      </w:r>
      <w:r w:rsidRPr="00A2772C">
        <w:t xml:space="preserve">ships and </w:t>
      </w:r>
      <w:r w:rsidRPr="00A2772C">
        <w:t>collaboration</w:t>
      </w:r>
      <w:r w:rsidRPr="00A2772C">
        <w:t xml:space="preserve"> between businesses and the</w:t>
      </w:r>
      <w:r w:rsidRPr="00A2772C">
        <w:t xml:space="preserve"> knowled</w:t>
      </w:r>
      <w:r w:rsidRPr="00A2772C">
        <w:t>ge base, as well as with Centres of Excellence both</w:t>
      </w:r>
      <w:r w:rsidRPr="00A2772C">
        <w:t xml:space="preserve"> wi</w:t>
      </w:r>
      <w:r w:rsidRPr="00A2772C">
        <w:t xml:space="preserve">thin and outside of Lancashire </w:t>
      </w:r>
      <w:r w:rsidRPr="00A2772C">
        <w:t xml:space="preserve">should be a focus of the coming years. </w:t>
      </w:r>
      <w:r w:rsidRPr="00A2772C">
        <w:t xml:space="preserve">This willingness to work cross-sectorally and beyond the Lancashire boundary </w:t>
      </w:r>
      <w:r w:rsidRPr="00A2772C">
        <w:t>will open up new routeways for innovation for Lancashire institutions.</w:t>
      </w:r>
      <w:r w:rsidRPr="00A2772C">
        <w:t xml:space="preserve"> </w:t>
      </w:r>
      <w:r w:rsidRPr="00A2772C">
        <w:t>Th</w:t>
      </w:r>
      <w:r w:rsidRPr="00A2772C">
        <w:t>e</w:t>
      </w:r>
      <w:r w:rsidRPr="00A2772C">
        <w:t>s</w:t>
      </w:r>
      <w:r w:rsidRPr="00A2772C">
        <w:t>e</w:t>
      </w:r>
      <w:r w:rsidRPr="00A2772C">
        <w:t xml:space="preserve"> crossover</w:t>
      </w:r>
      <w:r w:rsidRPr="00A2772C">
        <w:t>s</w:t>
      </w:r>
      <w:r w:rsidRPr="00A2772C">
        <w:t xml:space="preserve"> can provide major opportunities for Lancashire becau</w:t>
      </w:r>
      <w:r w:rsidRPr="00A2772C">
        <w:t xml:space="preserve">se there is an unusual mix of sectors and supply chains in the County </w:t>
      </w:r>
      <w:r w:rsidRPr="00C366CC">
        <w:rPr>
          <w:noProof/>
        </w:rPr>
        <w:t>with</w:t>
      </w:r>
      <w:r w:rsidRPr="00A2772C">
        <w:t xml:space="preserve"> untapped potential to combine capabilities to open up new competitive opportunities. </w:t>
      </w:r>
      <w:r w:rsidRPr="00A2772C">
        <w:t>An example of</w:t>
      </w:r>
      <w:r w:rsidRPr="00A2772C">
        <w:t xml:space="preserve"> this is given in the panel at</w:t>
      </w:r>
      <w:r w:rsidRPr="00A2772C">
        <w:t xml:space="preserve"> </w:t>
      </w:r>
      <w:r w:rsidRPr="00A2772C">
        <w:fldChar w:fldCharType="begin"/>
      </w:r>
      <w:r w:rsidRPr="00A2772C">
        <w:instrText xml:space="preserve"> REF _Ref502740567 \h </w:instrText>
      </w:r>
      <w:r w:rsidRPr="00A2772C">
        <w:fldChar w:fldCharType="separate"/>
      </w:r>
      <w:r>
        <w:rPr>
          <w:b/>
          <w:bCs/>
          <w:lang w:val="en-US"/>
        </w:rPr>
        <w:t xml:space="preserve">Error! Reference source not </w:t>
      </w:r>
      <w:r>
        <w:rPr>
          <w:b/>
          <w:bCs/>
          <w:lang w:val="en-US"/>
        </w:rPr>
        <w:t>found.</w:t>
      </w:r>
      <w:r w:rsidRPr="00A2772C">
        <w:fldChar w:fldCharType="end"/>
      </w:r>
      <w:r w:rsidRPr="00A2772C">
        <w:t>, this focuses on how Lancashire’s existing supply chain strengths might be mixed to produce a new capability in ‘ultra-reliable technologies’.</w:t>
      </w:r>
      <w:bookmarkStart w:id="120" w:name="_Toc504563073"/>
      <w:bookmarkStart w:id="121" w:name="_Toc505073272"/>
      <w:bookmarkStart w:id="122" w:name="_Toc505073767"/>
    </w:p>
    <w:p w:rsidR="002602D2" w:rsidRPr="00A2772C" w:rsidRDefault="00BE7ED1" w:rsidP="00AE28E3">
      <w:pPr>
        <w:pStyle w:val="Heading2"/>
      </w:pPr>
      <w:bookmarkStart w:id="123" w:name="_Toc502674267"/>
      <w:bookmarkStart w:id="124" w:name="_Toc502734610"/>
      <w:bookmarkStart w:id="125" w:name="_Toc502744323"/>
      <w:bookmarkStart w:id="126" w:name="_Toc504469784"/>
      <w:bookmarkStart w:id="127" w:name="_Toc504490224"/>
      <w:bookmarkStart w:id="128" w:name="_Toc508803088"/>
      <w:r>
        <w:t>T</w:t>
      </w:r>
      <w:r w:rsidRPr="00A2772C">
        <w:t>hreats</w:t>
      </w:r>
      <w:bookmarkEnd w:id="123"/>
      <w:bookmarkEnd w:id="124"/>
      <w:bookmarkEnd w:id="125"/>
      <w:bookmarkEnd w:id="126"/>
      <w:bookmarkEnd w:id="127"/>
      <w:bookmarkEnd w:id="120"/>
      <w:bookmarkEnd w:id="121"/>
      <w:bookmarkEnd w:id="122"/>
      <w:bookmarkEnd w:id="128"/>
    </w:p>
    <w:p w:rsidR="00FC75E4" w:rsidRDefault="00BE7ED1" w:rsidP="00FC75E4">
      <w:pPr>
        <w:pStyle w:val="NormalNumbered"/>
      </w:pPr>
      <w:r w:rsidRPr="00A2772C">
        <w:t>G</w:t>
      </w:r>
      <w:r w:rsidRPr="00A2772C">
        <w:t>rowing c</w:t>
      </w:r>
      <w:r w:rsidRPr="00A2772C">
        <w:t>ompetition from overs</w:t>
      </w:r>
      <w:r w:rsidRPr="00A2772C">
        <w:t>eas,</w:t>
      </w:r>
      <w:r w:rsidRPr="00A2772C">
        <w:t xml:space="preserve"> particularly in key sectors such as </w:t>
      </w:r>
      <w:r>
        <w:t>Aerospace</w:t>
      </w:r>
      <w:r w:rsidRPr="00A2772C">
        <w:t xml:space="preserve"> and </w:t>
      </w:r>
      <w:r>
        <w:t>Automot</w:t>
      </w:r>
      <w:r w:rsidRPr="00A2772C">
        <w:t>ive</w:t>
      </w:r>
      <w:r w:rsidRPr="00A2772C">
        <w:t>, presents an ongoing threat</w:t>
      </w:r>
      <w:r w:rsidRPr="00A2772C">
        <w:t>. As developing economies can often produce at a lower cost this presents</w:t>
      </w:r>
      <w:r w:rsidRPr="00A2772C">
        <w:t xml:space="preserve"> cost challenges</w:t>
      </w:r>
      <w:r w:rsidRPr="00A2772C">
        <w:t xml:space="preserve"> for Lancashire </w:t>
      </w:r>
      <w:r>
        <w:t xml:space="preserve">and UK </w:t>
      </w:r>
      <w:r w:rsidRPr="00A2772C">
        <w:t>business</w:t>
      </w:r>
      <w:r>
        <w:t xml:space="preserve"> alike</w:t>
      </w:r>
      <w:r w:rsidRPr="00A2772C">
        <w:t xml:space="preserve">. The ability to remain competitive </w:t>
      </w:r>
      <w:r w:rsidRPr="00A2772C">
        <w:t>i</w:t>
      </w:r>
      <w:r w:rsidRPr="00A2772C">
        <w:t xml:space="preserve">n these markets </w:t>
      </w:r>
      <w:r w:rsidRPr="00A2772C">
        <w:t xml:space="preserve">will be just as important as being </w:t>
      </w:r>
      <w:r>
        <w:t>innovative</w:t>
      </w:r>
      <w:r w:rsidRPr="00A2772C">
        <w:t>.</w:t>
      </w:r>
    </w:p>
    <w:p w:rsidR="00372F86" w:rsidRPr="00A2772C" w:rsidRDefault="00BE7ED1" w:rsidP="00372F86">
      <w:pPr>
        <w:pStyle w:val="NormalNumbered"/>
      </w:pPr>
      <w:r w:rsidRPr="00A2772C">
        <w:t xml:space="preserve">There is a perception currently of a dependence on major employers and multi-nationals for innovation and a focus on key sectors potentially at expense of other, emerging sectors. The focus on </w:t>
      </w:r>
      <w:r w:rsidRPr="00A2772C">
        <w:t>diffusion of innovation, in both initial support and in adoption, throughout supply chains and across sectors will go some way to changing this perception.</w:t>
      </w:r>
    </w:p>
    <w:p w:rsidR="00372F86" w:rsidRDefault="00BE7ED1" w:rsidP="0074708B"/>
    <w:p w:rsidR="00372F86" w:rsidRPr="00D42C3C" w:rsidRDefault="00BE7ED1" w:rsidP="0074708B">
      <w:pPr>
        <w:pStyle w:val="Caption"/>
        <w:rPr>
          <w:noProof/>
          <w:sz w:val="22"/>
          <w:szCs w:val="22"/>
        </w:rPr>
      </w:pPr>
      <w:bookmarkStart w:id="129" w:name="_Toc508803163"/>
      <w:r>
        <w:lastRenderedPageBreak/>
        <w:t xml:space="preserve">Figure </w:t>
      </w:r>
      <w:r>
        <w:fldChar w:fldCharType="begin"/>
      </w:r>
      <w:r>
        <w:instrText xml:space="preserve"> SEQ Figure \* ARABIC </w:instrText>
      </w:r>
      <w:r>
        <w:fldChar w:fldCharType="separate"/>
      </w:r>
      <w:r>
        <w:rPr>
          <w:noProof/>
        </w:rPr>
        <w:t>5</w:t>
      </w:r>
      <w:r>
        <w:rPr>
          <w:noProof/>
        </w:rPr>
        <w:fldChar w:fldCharType="end"/>
      </w:r>
      <w:r>
        <w:t xml:space="preserve"> – Potential Supply Chain Crossovers</w:t>
      </w:r>
      <w:bookmarkEnd w:id="129"/>
    </w:p>
    <w:p w:rsidR="00372F86" w:rsidRPr="00A2772C" w:rsidRDefault="00BE7ED1" w:rsidP="0074708B">
      <w:pPr>
        <w:pStyle w:val="Source"/>
      </w:pPr>
      <w:r w:rsidRPr="00A2772C">
        <w:rPr>
          <w:noProof/>
          <w:lang w:eastAsia="en-GB"/>
        </w:rPr>
        <w:drawing>
          <wp:inline distT="0" distB="0" distL="0" distR="0">
            <wp:extent cx="5385435" cy="3849786"/>
            <wp:effectExtent l="19050" t="19050" r="2476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46819" name=""/>
                    <pic:cNvPicPr/>
                  </pic:nvPicPr>
                  <pic:blipFill>
                    <a:blip r:embed="rId37">
                      <a:extLst>
                        <a:ext uri="{28A0092B-C50C-407E-A947-70E740481C1C}">
                          <a14:useLocalDpi xmlns:a14="http://schemas.microsoft.com/office/drawing/2010/main" val="0"/>
                        </a:ext>
                      </a:extLst>
                    </a:blip>
                    <a:stretch>
                      <a:fillRect/>
                    </a:stretch>
                  </pic:blipFill>
                  <pic:spPr>
                    <a:xfrm>
                      <a:off x="0" y="0"/>
                      <a:ext cx="5385435" cy="3849786"/>
                    </a:xfrm>
                    <a:prstGeom prst="rect">
                      <a:avLst/>
                    </a:prstGeom>
                    <a:ln>
                      <a:solidFill>
                        <a:schemeClr val="tx2"/>
                      </a:solidFill>
                    </a:ln>
                  </pic:spPr>
                </pic:pic>
              </a:graphicData>
            </a:graphic>
          </wp:inline>
        </w:drawing>
      </w:r>
      <w:r w:rsidRPr="00865EF8">
        <w:t xml:space="preserve">Source: SDG Economic </w:t>
      </w:r>
      <w:r w:rsidRPr="00865EF8">
        <w:t>Development</w:t>
      </w:r>
      <w:r>
        <w:t>, 2018</w:t>
      </w:r>
    </w:p>
    <w:p w:rsidR="00FC75E4" w:rsidRPr="00A2772C" w:rsidRDefault="00BE7ED1" w:rsidP="00FC75E4">
      <w:pPr>
        <w:pStyle w:val="NormalNumbered"/>
      </w:pPr>
      <w:r w:rsidRPr="00A2772C">
        <w:t xml:space="preserve">In uncertain international trading conditions, multi-nationals that have supply chains in Lancashire may look to take </w:t>
      </w:r>
      <w:r w:rsidRPr="0074708B">
        <w:rPr>
          <w:noProof/>
        </w:rPr>
        <w:t>these off-shore</w:t>
      </w:r>
      <w:r w:rsidRPr="00A2772C">
        <w:t xml:space="preserve">. Alternatively, multi-nationals with supply chains abroad may look to ‘on-shore’ these. The challenge </w:t>
      </w:r>
      <w:r w:rsidRPr="00A2772C">
        <w:t>for Lancashire will be to protect existing supply chains and be</w:t>
      </w:r>
      <w:r>
        <w:t>ing</w:t>
      </w:r>
      <w:r w:rsidRPr="00A2772C">
        <w:t xml:space="preserve"> able to ‘bid’ for any new opportunities that may arise.</w:t>
      </w:r>
    </w:p>
    <w:p w:rsidR="00FC75E4" w:rsidRPr="00A2772C" w:rsidRDefault="00BE7ED1" w:rsidP="00FC75E4">
      <w:pPr>
        <w:pStyle w:val="NormalNumbered"/>
      </w:pPr>
      <w:r w:rsidRPr="00A2772C">
        <w:t xml:space="preserve">As with much of the UK, Lancashire faces the challenge of replacing an ageing workforce, as well as a forecast employment decline in </w:t>
      </w:r>
      <w:r w:rsidRPr="00A2772C">
        <w:t>some key sectors such as manufacturing. There are challenges around re-training and re-skilling those whose roles are affected by increased automation, as well as need to maintain a pipeline of talent to meet this demand</w:t>
      </w:r>
      <w:r w:rsidRPr="00A2772C">
        <w:t>.</w:t>
      </w:r>
      <w:r>
        <w:t xml:space="preserve"> </w:t>
      </w:r>
      <w:r>
        <w:t>These issues have been explored in</w:t>
      </w:r>
      <w:r>
        <w:t xml:space="preserve"> detail in the recent preparation of the Vision for Technical Education in Lancashire, and it will be imperative that this Plan and that Vision mesh and work seamlessly together to ‘synergise’ their innovation and skills efforts.</w:t>
      </w:r>
    </w:p>
    <w:p w:rsidR="00B15153" w:rsidRPr="00A2772C" w:rsidRDefault="00BE7ED1" w:rsidP="0074708B">
      <w:pPr>
        <w:pStyle w:val="NormalNumbered"/>
      </w:pPr>
      <w:r w:rsidRPr="00A2772C">
        <w:t xml:space="preserve">Lancashire’s location and </w:t>
      </w:r>
      <w:r w:rsidRPr="00A2772C">
        <w:t xml:space="preserve">geography </w:t>
      </w:r>
      <w:r w:rsidRPr="0074708B">
        <w:rPr>
          <w:noProof/>
        </w:rPr>
        <w:t>presents</w:t>
      </w:r>
      <w:r w:rsidRPr="00A2772C">
        <w:t xml:space="preserve"> o</w:t>
      </w:r>
      <w:r w:rsidRPr="00A2772C">
        <w:t>ngoing connectivity challenge</w:t>
      </w:r>
      <w:r w:rsidRPr="00A2772C">
        <w:t>s,</w:t>
      </w:r>
      <w:r w:rsidRPr="00A2772C">
        <w:t xml:space="preserve"> and the</w:t>
      </w:r>
      <w:r w:rsidRPr="00A2772C">
        <w:t xml:space="preserve"> county</w:t>
      </w:r>
      <w:r w:rsidRPr="00A2772C">
        <w:t xml:space="preserve"> can be</w:t>
      </w:r>
      <w:r w:rsidRPr="00A2772C">
        <w:t xml:space="preserve"> ‘passed by’ by key infrastructures</w:t>
      </w:r>
      <w:r w:rsidRPr="00A2772C">
        <w:t xml:space="preserve">. Other areas nearby, such as Sheffield, </w:t>
      </w:r>
      <w:r w:rsidRPr="00A2772C">
        <w:t xml:space="preserve">Manchester, and Liverpool have </w:t>
      </w:r>
      <w:r w:rsidRPr="00A2772C">
        <w:t xml:space="preserve">a stronger </w:t>
      </w:r>
      <w:r w:rsidRPr="00A2772C">
        <w:t>‘</w:t>
      </w:r>
      <w:r w:rsidRPr="00A2772C">
        <w:t>innovation profile</w:t>
      </w:r>
      <w:r w:rsidRPr="00A2772C">
        <w:t>’</w:t>
      </w:r>
      <w:r w:rsidRPr="00A2772C">
        <w:t>, with a defined leadership and national asse</w:t>
      </w:r>
      <w:r w:rsidRPr="00A2772C">
        <w:t>ts. Both working with these areas to develop stronger links and showing what Lancashire can offer that is unique from them will be an ongoing strategic challenge.</w:t>
      </w:r>
    </w:p>
    <w:p w:rsidR="002602D2" w:rsidRPr="00A2772C" w:rsidRDefault="00BE7ED1" w:rsidP="0074708B">
      <w:pPr>
        <w:pStyle w:val="Heading1"/>
        <w:framePr w:wrap="notBeside"/>
      </w:pPr>
      <w:bookmarkStart w:id="130" w:name="_Toc508803089"/>
      <w:r w:rsidRPr="00A2772C">
        <w:lastRenderedPageBreak/>
        <w:t>Our Vision</w:t>
      </w:r>
      <w:r w:rsidRPr="00A2772C">
        <w:t xml:space="preserve"> for an Innovation</w:t>
      </w:r>
      <w:r w:rsidRPr="00A2772C">
        <w:t xml:space="preserve"> Economy</w:t>
      </w:r>
      <w:bookmarkEnd w:id="130"/>
    </w:p>
    <w:p w:rsidR="00762CF8" w:rsidRPr="00A2772C" w:rsidRDefault="00BE7ED1" w:rsidP="00275903">
      <w:pPr>
        <w:pStyle w:val="PullQuote"/>
      </w:pPr>
      <w:bookmarkStart w:id="131" w:name="_Toc502734612"/>
      <w:bookmarkStart w:id="132" w:name="_Toc502744325"/>
      <w:bookmarkStart w:id="133" w:name="_Toc504469786"/>
      <w:bookmarkStart w:id="134" w:name="_Toc504490226"/>
      <w:r w:rsidRPr="00A2772C">
        <w:t xml:space="preserve">Our </w:t>
      </w:r>
      <w:r w:rsidRPr="00A2772C">
        <w:t xml:space="preserve">Vision Statement </w:t>
      </w:r>
      <w:r w:rsidRPr="00A2772C">
        <w:t>for Lancashire’s Innovation Economy</w:t>
      </w:r>
      <w:r w:rsidRPr="00A2772C">
        <w:t xml:space="preserve"> is as follows:</w:t>
      </w:r>
      <w:bookmarkEnd w:id="131"/>
      <w:bookmarkEnd w:id="132"/>
      <w:bookmarkEnd w:id="133"/>
      <w:bookmarkEnd w:id="134"/>
    </w:p>
    <w:p w:rsidR="00E63699" w:rsidRPr="00A2772C" w:rsidRDefault="00BE7ED1" w:rsidP="0082313D">
      <w:pPr>
        <w:pStyle w:val="PullQuote"/>
      </w:pPr>
      <w:r w:rsidRPr="00A2772C">
        <w:t>By 2030</w:t>
      </w:r>
      <w:r>
        <w:t>,</w:t>
      </w:r>
      <w:r w:rsidRPr="00A2772C">
        <w:t xml:space="preserve"> Lancashire will have positioned itself as a</w:t>
      </w:r>
      <w:r w:rsidRPr="00A2772C">
        <w:t>n internationally</w:t>
      </w:r>
      <w:r w:rsidRPr="00A2772C">
        <w:t xml:space="preserve"> connected </w:t>
      </w:r>
      <w:r w:rsidRPr="00A2772C">
        <w:t>and</w:t>
      </w:r>
      <w:r w:rsidRPr="00A2772C">
        <w:t xml:space="preserve"> resilient innovation ecosystem. The way we innovate will embody excellence </w:t>
      </w:r>
      <w:r w:rsidRPr="00A2772C">
        <w:t>and</w:t>
      </w:r>
      <w:r w:rsidRPr="00A2772C">
        <w:t xml:space="preserve"> collaboration, feeding through to greater commercialisation, entrepreneurship</w:t>
      </w:r>
      <w:r>
        <w:t>,</w:t>
      </w:r>
      <w:r w:rsidRPr="00A2772C">
        <w:t xml:space="preserve"> </w:t>
      </w:r>
      <w:r w:rsidRPr="00A2772C">
        <w:t>and</w:t>
      </w:r>
      <w:r w:rsidRPr="00A2772C">
        <w:t xml:space="preserve"> competitiveness in our economy</w:t>
      </w:r>
      <w:r>
        <w:t xml:space="preserve">. </w:t>
      </w:r>
      <w:r w:rsidRPr="00A2772C">
        <w:t>We will have a track</w:t>
      </w:r>
      <w:r>
        <w:t>-</w:t>
      </w:r>
      <w:r w:rsidRPr="00A2772C">
        <w:t xml:space="preserve">record as a centre for globally competitive knowledge clusters </w:t>
      </w:r>
      <w:r w:rsidRPr="00A2772C">
        <w:t>and</w:t>
      </w:r>
      <w:r w:rsidRPr="00A2772C">
        <w:t xml:space="preserve"> </w:t>
      </w:r>
      <w:r w:rsidRPr="0074708B">
        <w:rPr>
          <w:noProof/>
        </w:rPr>
        <w:t>talent</w:t>
      </w:r>
      <w:r>
        <w:rPr>
          <w:noProof/>
        </w:rPr>
        <w:t>,</w:t>
      </w:r>
      <w:r w:rsidRPr="00A2772C">
        <w:t xml:space="preserve"> </w:t>
      </w:r>
      <w:r w:rsidRPr="00A2772C">
        <w:t>and</w:t>
      </w:r>
      <w:r w:rsidRPr="00A2772C">
        <w:t xml:space="preserve"> as a developer of new solutions to the emerging challenges of our world.</w:t>
      </w:r>
    </w:p>
    <w:p w:rsidR="00DC1431" w:rsidRPr="00A2772C" w:rsidRDefault="00BE7ED1" w:rsidP="00DD176A">
      <w:pPr>
        <w:pStyle w:val="NormalNumbered"/>
      </w:pPr>
      <w:r>
        <w:t>By 2030, the o</w:t>
      </w:r>
      <w:r w:rsidRPr="00A2772C">
        <w:t xml:space="preserve">ur </w:t>
      </w:r>
      <w:r>
        <w:t>Plan</w:t>
      </w:r>
      <w:r>
        <w:t>’</w:t>
      </w:r>
      <w:r>
        <w:t xml:space="preserve">s </w:t>
      </w:r>
      <w:r w:rsidRPr="00A2772C">
        <w:t xml:space="preserve">Vision </w:t>
      </w:r>
      <w:r w:rsidRPr="00A2772C">
        <w:t xml:space="preserve">sees </w:t>
      </w:r>
      <w:r w:rsidRPr="00A2772C">
        <w:t>Lancashire as an internationally connected innovation ecosystem. This means Lancashire</w:t>
      </w:r>
      <w:r w:rsidRPr="00A2772C">
        <w:t xml:space="preserve"> </w:t>
      </w:r>
      <w:r w:rsidRPr="00A2772C">
        <w:t xml:space="preserve">adopts and implements </w:t>
      </w:r>
      <w:r w:rsidRPr="00A2772C">
        <w:t xml:space="preserve">proactively </w:t>
      </w:r>
      <w:r w:rsidRPr="00A2772C">
        <w:t xml:space="preserve">innovations from elsewhere and ideas generated in Lancashire </w:t>
      </w:r>
      <w:r w:rsidRPr="00A2772C">
        <w:t xml:space="preserve">are exported </w:t>
      </w:r>
      <w:r w:rsidRPr="00A2772C">
        <w:t>across the globe.</w:t>
      </w:r>
      <w:r w:rsidRPr="00A2772C">
        <w:t xml:space="preserve"> By ‘doing’ innovation better,</w:t>
      </w:r>
      <w:r w:rsidRPr="00A2772C">
        <w:t xml:space="preserve"> Lancashire’s </w:t>
      </w:r>
      <w:r w:rsidRPr="00A2772C">
        <w:t>eco</w:t>
      </w:r>
      <w:r w:rsidRPr="00A2772C">
        <w:t xml:space="preserve">nomy </w:t>
      </w:r>
      <w:r w:rsidRPr="00A2772C">
        <w:t xml:space="preserve">will be </w:t>
      </w:r>
      <w:r w:rsidRPr="00A2772C">
        <w:t>more resilient and capable of managing</w:t>
      </w:r>
      <w:r w:rsidRPr="00A2772C">
        <w:t xml:space="preserve"> economic shocks, through greater diffusion and adoption of innovation across sector</w:t>
      </w:r>
      <w:r w:rsidRPr="00A2772C">
        <w:t>s and throughout supply chains, and ensuring a supply of talent to businesses of all sizes.</w:t>
      </w:r>
      <w:r w:rsidRPr="00A2772C">
        <w:t xml:space="preserve"> </w:t>
      </w:r>
    </w:p>
    <w:p w:rsidR="00DC1431" w:rsidRPr="00A2772C" w:rsidRDefault="00BE7ED1" w:rsidP="00DD176A">
      <w:pPr>
        <w:pStyle w:val="NormalNumbered"/>
      </w:pPr>
      <w:r w:rsidRPr="00A2772C">
        <w:t xml:space="preserve">Lancashire will </w:t>
      </w:r>
      <w:r w:rsidRPr="0074708B">
        <w:rPr>
          <w:i/>
        </w:rPr>
        <w:t>‘</w:t>
      </w:r>
      <w:r w:rsidRPr="00A2772C">
        <w:rPr>
          <w:i/>
        </w:rPr>
        <w:t>collabor</w:t>
      </w:r>
      <w:r w:rsidRPr="00A2772C">
        <w:rPr>
          <w:i/>
        </w:rPr>
        <w:t>ate to compete</w:t>
      </w:r>
      <w:r w:rsidRPr="00A2772C">
        <w:rPr>
          <w:i/>
        </w:rPr>
        <w:t>’</w:t>
      </w:r>
      <w:r w:rsidRPr="00A2772C">
        <w:t>, by driving</w:t>
      </w:r>
      <w:r w:rsidRPr="00A2772C">
        <w:t xml:space="preserve"> crossover</w:t>
      </w:r>
      <w:r w:rsidRPr="00A2772C">
        <w:t xml:space="preserve">s between sectors to develop new innovation opportunities and markets. Through </w:t>
      </w:r>
      <w:r w:rsidRPr="00A2772C">
        <w:t>strategic marketing, business support, and intellectual property management</w:t>
      </w:r>
      <w:r w:rsidRPr="00A2772C">
        <w:t>,</w:t>
      </w:r>
      <w:r w:rsidRPr="00A2772C">
        <w:t xml:space="preserve"> Lancashire will develop greater commercialisation opportunities</w:t>
      </w:r>
      <w:r w:rsidRPr="00A2772C">
        <w:t>, support innovation-led business start-ups, and remain competitive in existing sector strengths and become</w:t>
      </w:r>
      <w:r w:rsidRPr="00A2772C">
        <w:t xml:space="preserve"> competitive in emerging sectors</w:t>
      </w:r>
      <w:r>
        <w:t>.</w:t>
      </w:r>
    </w:p>
    <w:p w:rsidR="001550A5" w:rsidRPr="00A2772C" w:rsidRDefault="00BE7ED1" w:rsidP="00DD176A">
      <w:pPr>
        <w:pStyle w:val="NormalNumbered"/>
      </w:pPr>
      <w:r w:rsidRPr="00A2772C">
        <w:t xml:space="preserve">Lancashire’s existing and new knowledge clusters will operate at a global scale, attracting research talent in key </w:t>
      </w:r>
      <w:r w:rsidRPr="00A2772C">
        <w:t>specialisms and developing new research specialism</w:t>
      </w:r>
      <w:r w:rsidRPr="00A2772C">
        <w:t>s</w:t>
      </w:r>
      <w:r w:rsidRPr="00A2772C">
        <w:t xml:space="preserve"> and commercialisation opportunit</w:t>
      </w:r>
      <w:r w:rsidRPr="00A2772C">
        <w:t xml:space="preserve">ies. Solutions to emerging challenges in </w:t>
      </w:r>
      <w:r>
        <w:t>Energy</w:t>
      </w:r>
      <w:r w:rsidRPr="00A2772C">
        <w:t>, health, mobility, and data security will be developed in Lancashire.</w:t>
      </w:r>
    </w:p>
    <w:p w:rsidR="002E3682" w:rsidRPr="00A2772C" w:rsidRDefault="00BE7ED1" w:rsidP="00DD176A">
      <w:pPr>
        <w:pStyle w:val="NormalNumbered"/>
      </w:pPr>
      <w:r w:rsidRPr="00A2772C">
        <w:t>Many of the aspects of our v</w:t>
      </w:r>
      <w:r>
        <w:t xml:space="preserve">ision apply elsewhere. </w:t>
      </w:r>
      <w:r>
        <w:t>However,</w:t>
      </w:r>
      <w:r w:rsidRPr="00A2772C">
        <w:t xml:space="preserve"> this is to be expected given the world’s economies are increasingly connected, both </w:t>
      </w:r>
      <w:r>
        <w:t>dig</w:t>
      </w:r>
      <w:r>
        <w:t>ital</w:t>
      </w:r>
      <w:r>
        <w:t xml:space="preserve">ly </w:t>
      </w:r>
      <w:r w:rsidRPr="00A2772C">
        <w:t xml:space="preserve">and through global value chains and business networks. We do not apologise for defining </w:t>
      </w:r>
      <w:r w:rsidRPr="00A2772C">
        <w:t>shared challenges</w:t>
      </w:r>
      <w:r w:rsidRPr="00A2772C">
        <w:t xml:space="preserve"> with other places</w:t>
      </w:r>
      <w:r w:rsidRPr="00A2772C">
        <w:t>. But in our</w:t>
      </w:r>
      <w:r w:rsidRPr="00A2772C">
        <w:t xml:space="preserve"> </w:t>
      </w:r>
      <w:r w:rsidRPr="00A2772C">
        <w:t>Plan,</w:t>
      </w:r>
      <w:r w:rsidRPr="00A2772C">
        <w:t xml:space="preserve"> we will add</w:t>
      </w:r>
      <w:r w:rsidRPr="00A2772C">
        <w:t>ress these with Lancastrian determination, and invention, making sure we understand what works for our place, our businesses, and our people.</w:t>
      </w:r>
    </w:p>
    <w:p w:rsidR="00327912" w:rsidRPr="00A2772C" w:rsidRDefault="00BE7ED1" w:rsidP="00DD176A">
      <w:pPr>
        <w:pStyle w:val="NormalNumbered"/>
      </w:pPr>
      <w:r w:rsidRPr="00A2772C">
        <w:t xml:space="preserve">The next section will outline the Strategic Framework </w:t>
      </w:r>
      <w:r w:rsidRPr="00A2772C">
        <w:t>for delivering this vision.</w:t>
      </w:r>
      <w:r w:rsidRPr="00A2772C">
        <w:t xml:space="preserve"> </w:t>
      </w:r>
    </w:p>
    <w:p w:rsidR="002602D2" w:rsidRPr="00A2772C" w:rsidRDefault="00BE7ED1" w:rsidP="0074708B">
      <w:pPr>
        <w:pStyle w:val="Heading1"/>
        <w:framePr w:wrap="notBeside"/>
      </w:pPr>
      <w:bookmarkStart w:id="135" w:name="_Toc508803090"/>
      <w:r w:rsidRPr="00A2772C">
        <w:lastRenderedPageBreak/>
        <w:t>Our Strategic Framework</w:t>
      </w:r>
      <w:r w:rsidRPr="00A2772C">
        <w:t xml:space="preserve"> for an </w:t>
      </w:r>
      <w:r w:rsidRPr="00A2772C">
        <w:t>Innovation</w:t>
      </w:r>
      <w:r w:rsidRPr="00A2772C">
        <w:t xml:space="preserve"> Economy</w:t>
      </w:r>
      <w:bookmarkEnd w:id="135"/>
    </w:p>
    <w:p w:rsidR="00320A74" w:rsidRPr="00A2772C" w:rsidRDefault="00BE7ED1" w:rsidP="008955E9">
      <w:pPr>
        <w:pStyle w:val="PullQuote"/>
      </w:pPr>
      <w:bookmarkStart w:id="136" w:name="_Toc502734614"/>
      <w:bookmarkStart w:id="137" w:name="_Toc502744327"/>
      <w:bookmarkStart w:id="138" w:name="_Toc504469788"/>
      <w:bookmarkStart w:id="139" w:name="_Toc504490228"/>
      <w:bookmarkStart w:id="140" w:name="_Toc502674270"/>
      <w:r w:rsidRPr="00A2772C">
        <w:t xml:space="preserve">This </w:t>
      </w:r>
      <w:r w:rsidRPr="00A2772C">
        <w:t xml:space="preserve">Section </w:t>
      </w:r>
      <w:r w:rsidRPr="00A2772C">
        <w:t xml:space="preserve">sets out our Strategic Framework, and the Aims that will deliver the vision set out in the previous </w:t>
      </w:r>
      <w:r w:rsidRPr="00A2772C">
        <w:t>Chapter</w:t>
      </w:r>
      <w:r w:rsidRPr="00A2772C">
        <w:t>.</w:t>
      </w:r>
      <w:bookmarkEnd w:id="136"/>
      <w:bookmarkEnd w:id="137"/>
      <w:bookmarkEnd w:id="138"/>
      <w:bookmarkEnd w:id="139"/>
    </w:p>
    <w:p w:rsidR="00AF6688" w:rsidRPr="00A2772C" w:rsidRDefault="00BE7ED1" w:rsidP="00320A74">
      <w:pPr>
        <w:pStyle w:val="Heading2"/>
      </w:pPr>
      <w:bookmarkStart w:id="141" w:name="_Toc502734615"/>
      <w:bookmarkStart w:id="142" w:name="_Toc502744328"/>
      <w:bookmarkStart w:id="143" w:name="_Toc504469789"/>
      <w:bookmarkStart w:id="144" w:name="_Toc504490229"/>
      <w:bookmarkStart w:id="145" w:name="_Toc504563076"/>
      <w:bookmarkStart w:id="146" w:name="_Toc505073275"/>
      <w:bookmarkStart w:id="147" w:name="_Toc505073770"/>
      <w:bookmarkStart w:id="148" w:name="_Toc508803091"/>
      <w:r w:rsidRPr="00A2772C">
        <w:t>Framework Structure</w:t>
      </w:r>
      <w:bookmarkEnd w:id="140"/>
      <w:bookmarkEnd w:id="141"/>
      <w:bookmarkEnd w:id="142"/>
      <w:bookmarkEnd w:id="143"/>
      <w:bookmarkEnd w:id="144"/>
      <w:bookmarkEnd w:id="145"/>
      <w:bookmarkEnd w:id="146"/>
      <w:bookmarkEnd w:id="147"/>
      <w:bookmarkEnd w:id="148"/>
    </w:p>
    <w:p w:rsidR="00AF6688" w:rsidRPr="00A2772C" w:rsidRDefault="00BE7ED1" w:rsidP="00787524">
      <w:pPr>
        <w:pStyle w:val="NormalNumbered"/>
      </w:pPr>
      <w:r w:rsidRPr="00A2772C">
        <w:t>Our Framework for innovation is made up of five Strategic Aims. These are configured as</w:t>
      </w:r>
      <w:r w:rsidRPr="00A2772C">
        <w:t xml:space="preserve"> a ‘2x3</w:t>
      </w:r>
      <w:r w:rsidRPr="00A2772C">
        <w:t>’</w:t>
      </w:r>
      <w:r w:rsidRPr="00A2772C">
        <w:t xml:space="preserve"> structure:</w:t>
      </w:r>
      <w:r w:rsidRPr="00A2772C">
        <w:t xml:space="preserve"> two</w:t>
      </w:r>
      <w:r w:rsidRPr="00A2772C">
        <w:t xml:space="preserve"> of our</w:t>
      </w:r>
      <w:r w:rsidRPr="00A2772C">
        <w:t xml:space="preserve"> Aims relate to</w:t>
      </w:r>
      <w:r w:rsidRPr="00A2772C">
        <w:t xml:space="preserve"> our</w:t>
      </w:r>
      <w:r w:rsidRPr="00A2772C">
        <w:t xml:space="preserve"> innovation capability </w:t>
      </w:r>
      <w:r>
        <w:t>(</w:t>
      </w:r>
      <w:r w:rsidRPr="00A2772C">
        <w:t xml:space="preserve">the ability </w:t>
      </w:r>
      <w:r w:rsidRPr="0074708B">
        <w:rPr>
          <w:noProof/>
        </w:rPr>
        <w:t>of existing</w:t>
      </w:r>
      <w:r w:rsidRPr="00A2772C">
        <w:t xml:space="preserve"> and new businesses to develop, adopt, and com</w:t>
      </w:r>
      <w:r w:rsidRPr="00A2772C">
        <w:t>mercialise innovation</w:t>
      </w:r>
      <w:r>
        <w:t>)</w:t>
      </w:r>
      <w:r w:rsidRPr="00A2772C">
        <w:t>, and t</w:t>
      </w:r>
      <w:r w:rsidRPr="00A2772C">
        <w:t>hree A</w:t>
      </w:r>
      <w:r w:rsidRPr="00A2772C">
        <w:t xml:space="preserve">ims relate to </w:t>
      </w:r>
      <w:r w:rsidRPr="00A2772C">
        <w:t xml:space="preserve">our </w:t>
      </w:r>
      <w:r w:rsidRPr="00A2772C">
        <w:t xml:space="preserve">innovation ecosystem </w:t>
      </w:r>
      <w:r>
        <w:t>(</w:t>
      </w:r>
      <w:r w:rsidRPr="00A2772C">
        <w:t xml:space="preserve">building </w:t>
      </w:r>
      <w:r w:rsidRPr="00A2772C">
        <w:t xml:space="preserve">the infrastructures, the mindset, the marketing </w:t>
      </w:r>
      <w:r w:rsidRPr="00A2772C">
        <w:t>cap</w:t>
      </w:r>
      <w:r w:rsidRPr="00A2772C">
        <w:t>ab</w:t>
      </w:r>
      <w:r w:rsidRPr="00A2772C">
        <w:t>ility necessary for innovation</w:t>
      </w:r>
      <w:r>
        <w:t>)</w:t>
      </w:r>
      <w:r w:rsidRPr="00A2772C">
        <w:t>.</w:t>
      </w:r>
      <w:r w:rsidRPr="00A2772C">
        <w:t xml:space="preserve"> This will be delivered through a mixture of ‘quick wins’, medium</w:t>
      </w:r>
      <w:r>
        <w:t>-</w:t>
      </w:r>
      <w:r w:rsidRPr="00A2772C">
        <w:t xml:space="preserve">term programmes, and </w:t>
      </w:r>
      <w:r w:rsidRPr="00A2772C">
        <w:t>long-term</w:t>
      </w:r>
      <w:r w:rsidRPr="00A2772C">
        <w:t xml:space="preserve"> culture change</w:t>
      </w:r>
      <w:r w:rsidRPr="00A2772C">
        <w:t>. Quick wins are possible: if Lancashire’s businesses matche</w:t>
      </w:r>
      <w:r w:rsidRPr="00A2772C">
        <w:t xml:space="preserve">d current best practice (such as in the </w:t>
      </w:r>
      <w:r>
        <w:t>Nuclear</w:t>
      </w:r>
      <w:r w:rsidRPr="00A2772C">
        <w:t xml:space="preserve"> sector and Japanese </w:t>
      </w:r>
      <w:r>
        <w:t>Advanced Manufact</w:t>
      </w:r>
      <w:r w:rsidRPr="00A2772C">
        <w:t xml:space="preserve">uring) this would immediately result in significant productivity gains. The </w:t>
      </w:r>
      <w:r w:rsidRPr="00A2772C">
        <w:t>medium-term</w:t>
      </w:r>
      <w:r w:rsidRPr="00A2772C">
        <w:t xml:space="preserve"> programmes and </w:t>
      </w:r>
      <w:r>
        <w:t xml:space="preserve">a </w:t>
      </w:r>
      <w:r w:rsidRPr="00C366CC">
        <w:rPr>
          <w:noProof/>
        </w:rPr>
        <w:t>longer term</w:t>
      </w:r>
      <w:r w:rsidRPr="00A2772C">
        <w:t xml:space="preserve"> culture change are the focus of </w:t>
      </w:r>
      <w:r>
        <w:t xml:space="preserve">the Plan’s </w:t>
      </w:r>
      <w:r w:rsidRPr="00A2772C">
        <w:t>Framework.</w:t>
      </w:r>
    </w:p>
    <w:p w:rsidR="00AF6688" w:rsidRPr="00A2772C" w:rsidRDefault="00BE7ED1" w:rsidP="00AF6688">
      <w:pPr>
        <w:pStyle w:val="NormalNumbered"/>
      </w:pPr>
      <w:r w:rsidRPr="00A2772C">
        <w:t>Underpinning the five Aims a</w:t>
      </w:r>
      <w:r w:rsidRPr="00A2772C">
        <w:t>re three ‘cross-cutting themes’. T</w:t>
      </w:r>
      <w:r w:rsidRPr="00A2772C">
        <w:t xml:space="preserve">hese are the key behaviours that </w:t>
      </w:r>
      <w:r w:rsidRPr="00A2772C">
        <w:t>will characterise the way this Framework is implemented and progressed.</w:t>
      </w:r>
    </w:p>
    <w:p w:rsidR="00505239" w:rsidRPr="00A2772C" w:rsidRDefault="00BE7ED1" w:rsidP="00505239">
      <w:pPr>
        <w:pStyle w:val="Heading2"/>
      </w:pPr>
      <w:bookmarkStart w:id="149" w:name="_Toc502674271"/>
      <w:bookmarkStart w:id="150" w:name="_Toc502734616"/>
      <w:bookmarkStart w:id="151" w:name="_Toc502744329"/>
      <w:bookmarkStart w:id="152" w:name="_Toc504469790"/>
      <w:bookmarkStart w:id="153" w:name="_Toc504490230"/>
      <w:bookmarkStart w:id="154" w:name="_Toc504563077"/>
      <w:bookmarkStart w:id="155" w:name="_Toc505073276"/>
      <w:bookmarkStart w:id="156" w:name="_Toc505073771"/>
      <w:bookmarkStart w:id="157" w:name="_Toc508803092"/>
      <w:r w:rsidRPr="00A2772C">
        <w:t>Innovation Capability</w:t>
      </w:r>
      <w:bookmarkEnd w:id="149"/>
      <w:bookmarkEnd w:id="150"/>
      <w:bookmarkEnd w:id="151"/>
      <w:bookmarkEnd w:id="152"/>
      <w:bookmarkEnd w:id="153"/>
      <w:bookmarkEnd w:id="154"/>
      <w:bookmarkEnd w:id="155"/>
      <w:bookmarkEnd w:id="156"/>
      <w:bookmarkEnd w:id="157"/>
    </w:p>
    <w:p w:rsidR="00B0590C" w:rsidRPr="00A2772C" w:rsidRDefault="00BE7ED1" w:rsidP="00505239">
      <w:pPr>
        <w:pStyle w:val="Heading3"/>
      </w:pPr>
      <w:r w:rsidRPr="00A2772C">
        <w:t>Strategic Aim 1</w:t>
      </w:r>
      <w:r w:rsidRPr="00A2772C">
        <w:t xml:space="preserve"> </w:t>
      </w:r>
      <w:r w:rsidRPr="00A2772C">
        <w:t>–</w:t>
      </w:r>
      <w:r w:rsidRPr="00A2772C">
        <w:t xml:space="preserve"> </w:t>
      </w:r>
      <w:r w:rsidRPr="00A2772C">
        <w:t>‘</w:t>
      </w:r>
      <w:r w:rsidRPr="00A2772C">
        <w:t>Staying Ahead</w:t>
      </w:r>
      <w:r w:rsidRPr="00A2772C">
        <w:t>’</w:t>
      </w:r>
    </w:p>
    <w:p w:rsidR="00132BD4" w:rsidRPr="00A2772C" w:rsidRDefault="00BE7ED1" w:rsidP="0085192C">
      <w:pPr>
        <w:pStyle w:val="NormalNumbered"/>
      </w:pPr>
      <w:r w:rsidRPr="00A2772C">
        <w:t xml:space="preserve">Lancashire has recognised sectoral strengths and differentiators that are a core </w:t>
      </w:r>
      <w:r w:rsidRPr="00A2772C">
        <w:t>part</w:t>
      </w:r>
      <w:r w:rsidRPr="00A2772C">
        <w:t xml:space="preserve"> of the local economy. These are under threat from increased</w:t>
      </w:r>
      <w:r w:rsidRPr="00A2772C">
        <w:t xml:space="preserve"> global</w:t>
      </w:r>
      <w:r w:rsidRPr="00A2772C">
        <w:t xml:space="preserve"> competition and need to be developed, enhanced, and connected with other sectors to </w:t>
      </w:r>
      <w:r w:rsidRPr="00A2772C">
        <w:t xml:space="preserve">stay ahead of new and existing competitors. Significant market and technology change is </w:t>
      </w:r>
      <w:r w:rsidRPr="00C366CC">
        <w:rPr>
          <w:noProof/>
        </w:rPr>
        <w:t>coming</w:t>
      </w:r>
      <w:r>
        <w:rPr>
          <w:noProof/>
        </w:rPr>
        <w:t>,</w:t>
      </w:r>
      <w:r w:rsidRPr="00A2772C">
        <w:t xml:space="preserve"> and indeed is already underway in many sectors. </w:t>
      </w:r>
      <w:r w:rsidRPr="00A2772C">
        <w:t>These changes also present significant opportunities for Lancashire to unlock productivity and participate in ne</w:t>
      </w:r>
      <w:r w:rsidRPr="00A2772C">
        <w:t>w and emerging global supply chains.</w:t>
      </w:r>
    </w:p>
    <w:p w:rsidR="007B1D93" w:rsidRPr="00A2772C" w:rsidRDefault="00BE7ED1" w:rsidP="00296A42">
      <w:pPr>
        <w:pStyle w:val="NormalNumbered"/>
      </w:pPr>
      <w:r w:rsidRPr="00A2772C">
        <w:t>This will impact significantly on business models and employment, and Lancashire’s existing sector strengths will need to anticipate these changes to embrace the opportunities and mitigate the risks posed by them</w:t>
      </w:r>
      <w:r>
        <w:t xml:space="preserve">. </w:t>
      </w:r>
      <w:r w:rsidRPr="00A2772C">
        <w:t>Prote</w:t>
      </w:r>
      <w:r w:rsidRPr="00A2772C">
        <w:t xml:space="preserve">cting and enhancing these long-standing sectoral strengths is fundamental for Lancashire as they represent a </w:t>
      </w:r>
      <w:r>
        <w:t>m</w:t>
      </w:r>
      <w:r w:rsidRPr="00A2772C">
        <w:t>ajor employment and GVA contribution to the county</w:t>
      </w:r>
    </w:p>
    <w:p w:rsidR="00132BD4" w:rsidRPr="00A2772C" w:rsidRDefault="00BE7ED1" w:rsidP="00132BD4">
      <w:pPr>
        <w:pStyle w:val="NormalNumbered"/>
      </w:pPr>
      <w:r w:rsidRPr="00A2772C">
        <w:t>To maintain t</w:t>
      </w:r>
      <w:r w:rsidRPr="00A2772C">
        <w:t xml:space="preserve">hese existing capabilities, </w:t>
      </w:r>
      <w:r w:rsidRPr="00A2772C">
        <w:t>this Strategic Aim</w:t>
      </w:r>
      <w:r w:rsidRPr="00A2772C">
        <w:t xml:space="preserve"> will focus on</w:t>
      </w:r>
      <w:r w:rsidRPr="00A2772C">
        <w:t>:</w:t>
      </w:r>
    </w:p>
    <w:p w:rsidR="00544EDC" w:rsidRPr="00A2772C" w:rsidRDefault="00BE7ED1" w:rsidP="00544EDC">
      <w:pPr>
        <w:pStyle w:val="ListBullet"/>
      </w:pPr>
      <w:r w:rsidRPr="00A2772C">
        <w:lastRenderedPageBreak/>
        <w:t>Maintain</w:t>
      </w:r>
      <w:r w:rsidRPr="00A2772C">
        <w:t>ing</w:t>
      </w:r>
      <w:r w:rsidRPr="00A2772C">
        <w:t xml:space="preserve"> Lancashi</w:t>
      </w:r>
      <w:r w:rsidRPr="00A2772C">
        <w:t>re’s distinctive world-class prominence in priority sectors</w:t>
      </w:r>
      <w:r w:rsidRPr="00A2772C">
        <w:t>;</w:t>
      </w:r>
    </w:p>
    <w:p w:rsidR="00A35283" w:rsidRPr="00A2772C" w:rsidRDefault="00BE7ED1" w:rsidP="00A35283">
      <w:pPr>
        <w:pStyle w:val="ListBullet"/>
      </w:pPr>
      <w:r w:rsidRPr="00A2772C">
        <w:t>Develop</w:t>
      </w:r>
      <w:r w:rsidRPr="00A2772C">
        <w:t>ing</w:t>
      </w:r>
      <w:r w:rsidRPr="00A2772C">
        <w:t xml:space="preserve"> supply chain capability and</w:t>
      </w:r>
      <w:r w:rsidRPr="00A2772C">
        <w:t xml:space="preserve"> cap</w:t>
      </w:r>
      <w:r w:rsidRPr="00A2772C">
        <w:t>acity servicing these sectors, and</w:t>
      </w:r>
      <w:r w:rsidRPr="00A2772C">
        <w:t xml:space="preserve"> gap fill</w:t>
      </w:r>
      <w:r w:rsidRPr="00A2772C">
        <w:t>;</w:t>
      </w:r>
    </w:p>
    <w:p w:rsidR="00A35283" w:rsidRPr="00A2772C" w:rsidRDefault="00BE7ED1" w:rsidP="00A35283">
      <w:pPr>
        <w:pStyle w:val="ListBullet"/>
      </w:pPr>
      <w:r w:rsidRPr="00A2772C">
        <w:t>Identify</w:t>
      </w:r>
      <w:r w:rsidRPr="00A2772C">
        <w:t>ing</w:t>
      </w:r>
      <w:r w:rsidRPr="00A2772C">
        <w:t xml:space="preserve"> innovation inter-dependencies with other geographies</w:t>
      </w:r>
      <w:r w:rsidRPr="00A2772C">
        <w:t>; and</w:t>
      </w:r>
      <w:r w:rsidRPr="00A2772C">
        <w:t xml:space="preserve"> </w:t>
      </w:r>
    </w:p>
    <w:p w:rsidR="0085192C" w:rsidRPr="00A2772C" w:rsidRDefault="00BE7ED1" w:rsidP="00A35283">
      <w:pPr>
        <w:pStyle w:val="ListBullet"/>
      </w:pPr>
      <w:r w:rsidRPr="00A2772C">
        <w:t>Develop</w:t>
      </w:r>
      <w:r w:rsidRPr="00A2772C">
        <w:t>ing</w:t>
      </w:r>
      <w:r w:rsidRPr="00A2772C">
        <w:t xml:space="preserve"> strategic partnerships wit</w:t>
      </w:r>
      <w:r w:rsidRPr="00A2772C">
        <w:t>h Centres of Excellence outside Lancashire</w:t>
      </w:r>
      <w:r w:rsidRPr="00A2772C">
        <w:t>.</w:t>
      </w:r>
    </w:p>
    <w:p w:rsidR="00B0590C" w:rsidRPr="00A2772C" w:rsidRDefault="00BE7ED1" w:rsidP="00505239">
      <w:pPr>
        <w:pStyle w:val="Heading3"/>
      </w:pPr>
      <w:r w:rsidRPr="00A2772C">
        <w:t>Strategic Aim 2</w:t>
      </w:r>
      <w:r w:rsidRPr="00A2772C">
        <w:t xml:space="preserve"> –</w:t>
      </w:r>
      <w:r w:rsidRPr="00A2772C">
        <w:t xml:space="preserve"> </w:t>
      </w:r>
      <w:r w:rsidRPr="00A2772C">
        <w:t xml:space="preserve">‘New </w:t>
      </w:r>
      <w:r w:rsidRPr="00A2772C">
        <w:t>Routeways to Excellence</w:t>
      </w:r>
      <w:r w:rsidRPr="00A2772C">
        <w:t>’</w:t>
      </w:r>
    </w:p>
    <w:p w:rsidR="00A35283" w:rsidRPr="00A2772C" w:rsidRDefault="00BE7ED1" w:rsidP="005F2CDA">
      <w:pPr>
        <w:pStyle w:val="NormalNumbered"/>
      </w:pPr>
      <w:r w:rsidRPr="00A2772C">
        <w:t>In addition to these existing strengths, it is vital that Lancashire continues to develop and recreate its economic base, and create presence and expertise in new s</w:t>
      </w:r>
      <w:r w:rsidRPr="00A2772C">
        <w:t xml:space="preserve">ectors, allowing </w:t>
      </w:r>
      <w:r>
        <w:t xml:space="preserve">the County </w:t>
      </w:r>
      <w:r w:rsidRPr="00A2772C">
        <w:t xml:space="preserve">to exploit market and technology change. Sectoral development is increasingly difficult to deliver from a </w:t>
      </w:r>
      <w:r>
        <w:t>‘</w:t>
      </w:r>
      <w:r w:rsidRPr="00A2772C">
        <w:t>standing start</w:t>
      </w:r>
      <w:r>
        <w:t>’,</w:t>
      </w:r>
      <w:r w:rsidRPr="00A2772C">
        <w:t xml:space="preserve"> and </w:t>
      </w:r>
      <w:r w:rsidRPr="00A2772C">
        <w:t>emerging sectors need to be identified and nurtured at an early stage.</w:t>
      </w:r>
      <w:r w:rsidRPr="00A2772C">
        <w:t xml:space="preserve"> C</w:t>
      </w:r>
      <w:r w:rsidRPr="00A2772C">
        <w:t xml:space="preserve">onnectedness between </w:t>
      </w:r>
      <w:r w:rsidRPr="00A2772C">
        <w:t xml:space="preserve">our </w:t>
      </w:r>
      <w:r w:rsidRPr="00A2772C">
        <w:t>existing sectoral strengths provides opportunities for the diversification and broadening of the supply chain and can provide expanded or new sources of employment and GVA.</w:t>
      </w:r>
    </w:p>
    <w:p w:rsidR="00A35283" w:rsidRPr="00A2772C" w:rsidRDefault="00BE7ED1" w:rsidP="00B0590C">
      <w:pPr>
        <w:pStyle w:val="NormalNumbered"/>
      </w:pPr>
      <w:r w:rsidRPr="00A2772C">
        <w:t xml:space="preserve">To develop these </w:t>
      </w:r>
      <w:r w:rsidRPr="00A2772C">
        <w:t xml:space="preserve">routeways to excellence, </w:t>
      </w:r>
      <w:r w:rsidRPr="00A2772C">
        <w:t>this Strategic Aim will focus on</w:t>
      </w:r>
      <w:r w:rsidRPr="00A2772C">
        <w:t>:</w:t>
      </w:r>
    </w:p>
    <w:p w:rsidR="00A35283" w:rsidRPr="00A2772C" w:rsidRDefault="00BE7ED1" w:rsidP="00A35283">
      <w:pPr>
        <w:pStyle w:val="ListBullet"/>
      </w:pPr>
      <w:r w:rsidRPr="00A2772C">
        <w:t>Build</w:t>
      </w:r>
      <w:r w:rsidRPr="00A2772C">
        <w:t>in</w:t>
      </w:r>
      <w:r w:rsidRPr="00A2772C">
        <w:t>g</w:t>
      </w:r>
      <w:r w:rsidRPr="00A2772C">
        <w:t xml:space="preserve"> distinctive cross-over driven strategy </w:t>
      </w:r>
      <w:r w:rsidRPr="00A2772C">
        <w:t>(where different sectoral strengths ‘cross-over</w:t>
      </w:r>
      <w:r w:rsidRPr="00A2772C">
        <w:t>’</w:t>
      </w:r>
      <w:r w:rsidRPr="00A2772C">
        <w:t xml:space="preserve"> into new sectors) </w:t>
      </w:r>
      <w:r w:rsidRPr="00A2772C">
        <w:t>to exploit existing strengths</w:t>
      </w:r>
      <w:r w:rsidRPr="00A2772C">
        <w:t>;</w:t>
      </w:r>
      <w:r w:rsidRPr="00A2772C">
        <w:t xml:space="preserve"> </w:t>
      </w:r>
    </w:p>
    <w:p w:rsidR="00A35283" w:rsidRPr="00A2772C" w:rsidRDefault="00BE7ED1" w:rsidP="00A35283">
      <w:pPr>
        <w:pStyle w:val="ListBullet"/>
      </w:pPr>
      <w:r w:rsidRPr="00A2772C">
        <w:t>Prioritis</w:t>
      </w:r>
      <w:r w:rsidRPr="00A2772C">
        <w:t>ing</w:t>
      </w:r>
      <w:r w:rsidRPr="00A2772C">
        <w:t xml:space="preserve"> R&amp;D, innovation, </w:t>
      </w:r>
      <w:r>
        <w:t>and</w:t>
      </w:r>
      <w:r w:rsidRPr="00A2772C">
        <w:t xml:space="preserve"> skills development for emerging sectoral strengths</w:t>
      </w:r>
      <w:r w:rsidRPr="00A2772C">
        <w:t>;</w:t>
      </w:r>
    </w:p>
    <w:p w:rsidR="007A234E" w:rsidRDefault="00BE7ED1" w:rsidP="00AE28E3">
      <w:pPr>
        <w:pStyle w:val="ListBullet"/>
      </w:pPr>
      <w:r w:rsidRPr="00A2772C">
        <w:t>Develop</w:t>
      </w:r>
      <w:r w:rsidRPr="00A2772C">
        <w:t>ing</w:t>
      </w:r>
      <w:r w:rsidRPr="00A2772C">
        <w:t xml:space="preserve"> new global supply c</w:t>
      </w:r>
      <w:r w:rsidRPr="00A2772C">
        <w:t>hain participation strategies to scale these new areas</w:t>
      </w:r>
      <w:r>
        <w:t>;</w:t>
      </w:r>
    </w:p>
    <w:p w:rsidR="00A35283" w:rsidRPr="00A2772C" w:rsidRDefault="00BE7ED1" w:rsidP="00AE28E3">
      <w:pPr>
        <w:pStyle w:val="ListBullet"/>
      </w:pPr>
      <w:r w:rsidRPr="00A2772C">
        <w:t>Identify</w:t>
      </w:r>
      <w:r w:rsidRPr="00A2772C">
        <w:t>ing</w:t>
      </w:r>
      <w:r w:rsidRPr="00A2772C">
        <w:t xml:space="preserve"> innovation inter-dependencies with other geographies</w:t>
      </w:r>
      <w:r>
        <w:t>; and</w:t>
      </w:r>
      <w:r w:rsidRPr="00A2772C">
        <w:t xml:space="preserve"> </w:t>
      </w:r>
    </w:p>
    <w:p w:rsidR="00A35283" w:rsidRPr="00A2772C" w:rsidRDefault="00BE7ED1" w:rsidP="00A35283">
      <w:pPr>
        <w:pStyle w:val="ListBullet"/>
      </w:pPr>
      <w:r w:rsidRPr="00A2772C">
        <w:t>Develop</w:t>
      </w:r>
      <w:r w:rsidRPr="00A2772C">
        <w:t>ing</w:t>
      </w:r>
      <w:r w:rsidRPr="00A2772C">
        <w:t xml:space="preserve"> strategic partnerships with Centres of Excellence, wherever they may be</w:t>
      </w:r>
      <w:r>
        <w:t>.</w:t>
      </w:r>
    </w:p>
    <w:p w:rsidR="00505239" w:rsidRPr="00A2772C" w:rsidRDefault="00BE7ED1" w:rsidP="00505239">
      <w:pPr>
        <w:pStyle w:val="Heading2"/>
      </w:pPr>
      <w:bookmarkStart w:id="158" w:name="_Toc502674272"/>
      <w:bookmarkStart w:id="159" w:name="_Toc502734617"/>
      <w:bookmarkStart w:id="160" w:name="_Toc502744330"/>
      <w:bookmarkStart w:id="161" w:name="_Toc504469791"/>
      <w:bookmarkStart w:id="162" w:name="_Toc504490231"/>
      <w:bookmarkStart w:id="163" w:name="_Toc504563078"/>
      <w:bookmarkStart w:id="164" w:name="_Toc505073277"/>
      <w:bookmarkStart w:id="165" w:name="_Toc505073772"/>
      <w:bookmarkStart w:id="166" w:name="_Toc508803093"/>
      <w:r w:rsidRPr="00A2772C">
        <w:t>Innovation Ecosystem</w:t>
      </w:r>
      <w:bookmarkEnd w:id="158"/>
      <w:bookmarkEnd w:id="159"/>
      <w:bookmarkEnd w:id="160"/>
      <w:bookmarkEnd w:id="161"/>
      <w:bookmarkEnd w:id="162"/>
      <w:bookmarkEnd w:id="163"/>
      <w:bookmarkEnd w:id="164"/>
      <w:bookmarkEnd w:id="165"/>
      <w:bookmarkEnd w:id="166"/>
    </w:p>
    <w:p w:rsidR="00B0590C" w:rsidRPr="00A2772C" w:rsidRDefault="00BE7ED1" w:rsidP="00505239">
      <w:pPr>
        <w:pStyle w:val="Heading3"/>
      </w:pPr>
      <w:r w:rsidRPr="00A2772C">
        <w:t>Strategic Aim 3</w:t>
      </w:r>
      <w:r w:rsidRPr="00A2772C">
        <w:t xml:space="preserve"> </w:t>
      </w:r>
      <w:r w:rsidRPr="00A2772C">
        <w:t xml:space="preserve">– </w:t>
      </w:r>
      <w:r w:rsidRPr="00A2772C">
        <w:t>‘</w:t>
      </w:r>
      <w:r w:rsidRPr="00A2772C">
        <w:t>Broad</w:t>
      </w:r>
      <w:r w:rsidRPr="00A2772C">
        <w:t>ening the Innovation Base</w:t>
      </w:r>
      <w:r w:rsidRPr="00A2772C">
        <w:t>’</w:t>
      </w:r>
    </w:p>
    <w:p w:rsidR="00B0590C" w:rsidRPr="00A2772C" w:rsidRDefault="00BE7ED1" w:rsidP="00B0590C">
      <w:pPr>
        <w:pStyle w:val="NormalNumbered"/>
      </w:pPr>
      <w:r w:rsidRPr="00A2772C">
        <w:t xml:space="preserve">To combat the current </w:t>
      </w:r>
      <w:r w:rsidRPr="00A2772C">
        <w:t>perceived dependence on large and multinational companies for innovation, SMEs must be seen as an integral part of the innovation mix across all sectors. This will tackle the problem in Lancashire, and indee</w:t>
      </w:r>
      <w:r w:rsidRPr="00A2772C">
        <w:t>d the UK as it was pointed out in the Industrial Strategy White Paper, of a long tail of less innovative and less productive companies</w:t>
      </w:r>
      <w:r w:rsidRPr="00A2772C">
        <w:t>.</w:t>
      </w:r>
    </w:p>
    <w:p w:rsidR="00407D10" w:rsidRPr="00A2772C" w:rsidRDefault="00BE7ED1" w:rsidP="00B0590C">
      <w:pPr>
        <w:pStyle w:val="NormalNumbered"/>
      </w:pPr>
      <w:r w:rsidRPr="00A2772C">
        <w:t xml:space="preserve">With further economic </w:t>
      </w:r>
      <w:r w:rsidRPr="0074708B">
        <w:rPr>
          <w:noProof/>
        </w:rPr>
        <w:t>shocks</w:t>
      </w:r>
      <w:r w:rsidRPr="00A2772C">
        <w:t xml:space="preserve"> and economic restructuring, a certainty given the rate of market and technology change, resilience is vital to the ongoing success of an economy. By broadening innovation capacity and capability across</w:t>
      </w:r>
      <w:r w:rsidRPr="00A2772C">
        <w:t xml:space="preserve"> the whole of the local economy</w:t>
      </w:r>
      <w:r w:rsidRPr="00A2772C">
        <w:t>, the effects of an eco</w:t>
      </w:r>
      <w:r w:rsidRPr="00A2772C">
        <w:t>nomic shock to one of the large companies in Lancashire can be better absorbed. Without a broader innovation base, there is also the risk of a hollowing out of the Lancashire economy to adjacent economies.</w:t>
      </w:r>
    </w:p>
    <w:p w:rsidR="00A311DB" w:rsidRPr="00A2772C" w:rsidRDefault="00BE7ED1" w:rsidP="00A311DB">
      <w:pPr>
        <w:pStyle w:val="NormalNumbered"/>
      </w:pPr>
      <w:r w:rsidRPr="00A2772C">
        <w:t xml:space="preserve">To broaden the innovation base, </w:t>
      </w:r>
      <w:r w:rsidRPr="00A2772C">
        <w:t>this Strategic Aim</w:t>
      </w:r>
      <w:r w:rsidRPr="00A2772C">
        <w:t xml:space="preserve"> will focus on</w:t>
      </w:r>
      <w:r w:rsidRPr="00A2772C">
        <w:t>:</w:t>
      </w:r>
    </w:p>
    <w:p w:rsidR="00A311DB" w:rsidRPr="00A2772C" w:rsidRDefault="00BE7ED1" w:rsidP="00A311DB">
      <w:pPr>
        <w:pStyle w:val="ListBullet"/>
      </w:pPr>
      <w:r w:rsidRPr="00A2772C">
        <w:t>Creat</w:t>
      </w:r>
      <w:r w:rsidRPr="00A2772C">
        <w:t>ing</w:t>
      </w:r>
      <w:r w:rsidRPr="00A2772C">
        <w:t xml:space="preserve"> greater diffusion of innovation and</w:t>
      </w:r>
      <w:r w:rsidRPr="00A2772C">
        <w:t xml:space="preserve"> adoption across the local economy </w:t>
      </w:r>
      <w:r w:rsidRPr="00A2772C">
        <w:t>to increase</w:t>
      </w:r>
      <w:r w:rsidRPr="00A2772C">
        <w:t xml:space="preserve"> the</w:t>
      </w:r>
      <w:r w:rsidRPr="00A2772C">
        <w:t xml:space="preserve"> resilience of local employers and their ability to respond to emerging opportunities and threats;</w:t>
      </w:r>
    </w:p>
    <w:p w:rsidR="00A311DB" w:rsidRPr="00A2772C" w:rsidRDefault="00BE7ED1" w:rsidP="00A311DB">
      <w:pPr>
        <w:pStyle w:val="ListBullet"/>
      </w:pPr>
      <w:r w:rsidRPr="00A2772C">
        <w:t>Sell</w:t>
      </w:r>
      <w:r w:rsidRPr="00A2772C">
        <w:t>ing</w:t>
      </w:r>
      <w:r w:rsidRPr="00A2772C">
        <w:t xml:space="preserve"> the benefits of innovation for competit</w:t>
      </w:r>
      <w:r w:rsidRPr="00A2772C">
        <w:t>iveness and growth;</w:t>
      </w:r>
    </w:p>
    <w:p w:rsidR="00A311DB" w:rsidRPr="00A2772C" w:rsidRDefault="00BE7ED1" w:rsidP="00A311DB">
      <w:pPr>
        <w:pStyle w:val="ListBullet"/>
      </w:pPr>
      <w:r w:rsidRPr="00A2772C">
        <w:t>Enhanc</w:t>
      </w:r>
      <w:r w:rsidRPr="00A2772C">
        <w:t>ing</w:t>
      </w:r>
      <w:r w:rsidRPr="00A2772C">
        <w:t xml:space="preserve"> management and leadership skills around innovation; and  </w:t>
      </w:r>
    </w:p>
    <w:p w:rsidR="00A311DB" w:rsidRPr="00A2772C" w:rsidRDefault="00BE7ED1" w:rsidP="00A311DB">
      <w:pPr>
        <w:pStyle w:val="ListBullet"/>
      </w:pPr>
      <w:r w:rsidRPr="00A2772C">
        <w:t>Prioritis</w:t>
      </w:r>
      <w:r w:rsidRPr="00A2772C">
        <w:t>ing</w:t>
      </w:r>
      <w:r w:rsidRPr="00A2772C">
        <w:t xml:space="preserve"> FDI and clustering investment in innovation in Lancashire.</w:t>
      </w:r>
    </w:p>
    <w:p w:rsidR="00B0590C" w:rsidRPr="00A2772C" w:rsidRDefault="00BE7ED1" w:rsidP="00505239">
      <w:pPr>
        <w:pStyle w:val="Heading3"/>
      </w:pPr>
      <w:r w:rsidRPr="00A2772C">
        <w:t>Strategic Aim 4</w:t>
      </w:r>
      <w:r w:rsidRPr="00A2772C">
        <w:t xml:space="preserve"> –</w:t>
      </w:r>
      <w:r w:rsidRPr="00A2772C">
        <w:t xml:space="preserve"> </w:t>
      </w:r>
      <w:r w:rsidRPr="00A2772C">
        <w:t>‘</w:t>
      </w:r>
      <w:r w:rsidRPr="00A2772C">
        <w:t>Enabling Infrastructures for Innovation</w:t>
      </w:r>
      <w:r w:rsidRPr="00A2772C">
        <w:t>’</w:t>
      </w:r>
    </w:p>
    <w:p w:rsidR="00B0590C" w:rsidRPr="00A2772C" w:rsidRDefault="00BE7ED1" w:rsidP="00B0590C">
      <w:pPr>
        <w:pStyle w:val="NormalNumbered"/>
      </w:pPr>
      <w:r w:rsidRPr="00A2772C">
        <w:t xml:space="preserve">Innovation is critically dependent on a mix of skills and talent, access to specialist facilities, knowledge and ideas generation, and funding. These are required for innovation to be </w:t>
      </w:r>
      <w:r w:rsidRPr="00A2772C">
        <w:lastRenderedPageBreak/>
        <w:t xml:space="preserve">developed, adopted, and commercialised. </w:t>
      </w:r>
      <w:r w:rsidRPr="00A2772C">
        <w:t>As part of this, t</w:t>
      </w:r>
      <w:r w:rsidRPr="00A2772C">
        <w:t xml:space="preserve">here has been </w:t>
      </w:r>
      <w:r w:rsidRPr="00A2772C">
        <w:t>significant investment in innovation infrastructure in Lancashire, developing facilities in key sectors.</w:t>
      </w:r>
    </w:p>
    <w:p w:rsidR="00407D10" w:rsidRPr="00A2772C" w:rsidRDefault="00BE7ED1" w:rsidP="00407D10">
      <w:pPr>
        <w:pStyle w:val="NormalNumbered"/>
      </w:pPr>
      <w:r w:rsidRPr="00A2772C">
        <w:t xml:space="preserve">This is about having the ‘soft’ infrastructures in place utilising innovation networks and collaboration across </w:t>
      </w:r>
      <w:r>
        <w:t xml:space="preserve">private and </w:t>
      </w:r>
      <w:r>
        <w:t>public</w:t>
      </w:r>
      <w:r w:rsidRPr="00A2772C">
        <w:t>-sector</w:t>
      </w:r>
      <w:r w:rsidRPr="00A2772C">
        <w:t xml:space="preserve"> organisations</w:t>
      </w:r>
      <w:r w:rsidRPr="00A2772C">
        <w:t>. Ultimately, innovation needs to be a pervasive mindset and behaviour across organisations of all sizes in the private, public, and third sectors.</w:t>
      </w:r>
    </w:p>
    <w:p w:rsidR="00A311DB" w:rsidRPr="00A2772C" w:rsidRDefault="00BE7ED1" w:rsidP="00A311DB">
      <w:pPr>
        <w:pStyle w:val="NormalNumbered"/>
      </w:pPr>
      <w:r w:rsidRPr="00A2772C">
        <w:t xml:space="preserve">To enable infrastructures for innovation, </w:t>
      </w:r>
      <w:r w:rsidRPr="00A2772C">
        <w:t>this Strategic Aim will focus on</w:t>
      </w:r>
      <w:r w:rsidRPr="00A2772C">
        <w:t>:</w:t>
      </w:r>
    </w:p>
    <w:p w:rsidR="00A311DB" w:rsidRPr="00A2772C" w:rsidRDefault="00BE7ED1" w:rsidP="00A311DB">
      <w:pPr>
        <w:pStyle w:val="ListBullet"/>
      </w:pPr>
      <w:r w:rsidRPr="00A2772C">
        <w:rPr>
          <w:bCs/>
        </w:rPr>
        <w:t xml:space="preserve">Ensuring </w:t>
      </w:r>
      <w:r w:rsidRPr="00A2772C">
        <w:t xml:space="preserve">Innovation is embedded </w:t>
      </w:r>
      <w:r w:rsidRPr="00A2772C">
        <w:t>as a ‘first nature’ behaviour and mindset for Lanc</w:t>
      </w:r>
      <w:r>
        <w:t>a</w:t>
      </w:r>
      <w:r w:rsidRPr="00A2772C">
        <w:t>s</w:t>
      </w:r>
      <w:r>
        <w:t>hire</w:t>
      </w:r>
      <w:r w:rsidRPr="00A2772C">
        <w:t>;</w:t>
      </w:r>
    </w:p>
    <w:p w:rsidR="00A311DB" w:rsidRPr="00A2772C" w:rsidRDefault="00BE7ED1" w:rsidP="006079E2">
      <w:pPr>
        <w:pStyle w:val="ListBullet"/>
      </w:pPr>
      <w:r w:rsidRPr="00A2772C">
        <w:t xml:space="preserve">Ensuring wider economic policies (e.g. SEP, </w:t>
      </w:r>
      <w:r>
        <w:t xml:space="preserve">Lancashire’s </w:t>
      </w:r>
      <w:r w:rsidRPr="00A2772C">
        <w:t>Technical Education</w:t>
      </w:r>
      <w:r>
        <w:t xml:space="preserve"> Vision</w:t>
      </w:r>
      <w:r w:rsidRPr="00A2772C">
        <w:t xml:space="preserve">) </w:t>
      </w:r>
      <w:r>
        <w:t xml:space="preserve">are </w:t>
      </w:r>
      <w:r w:rsidRPr="00A2772C">
        <w:t>aligned with this Plan to drive success;</w:t>
      </w:r>
    </w:p>
    <w:p w:rsidR="00A311DB" w:rsidRPr="00A2772C" w:rsidRDefault="00BE7ED1" w:rsidP="00A311DB">
      <w:pPr>
        <w:pStyle w:val="ListBullet"/>
      </w:pPr>
      <w:r w:rsidRPr="00A2772C">
        <w:t xml:space="preserve">Enhancing management and leadership skills around innovation; </w:t>
      </w:r>
    </w:p>
    <w:p w:rsidR="004D35D4" w:rsidRPr="00A2772C" w:rsidRDefault="00BE7ED1" w:rsidP="004D35D4">
      <w:pPr>
        <w:pStyle w:val="ListBullet"/>
      </w:pPr>
      <w:r w:rsidRPr="00A2772C">
        <w:t>Prioritising</w:t>
      </w:r>
      <w:r w:rsidRPr="00A2772C">
        <w:t xml:space="preserve"> human capital developm</w:t>
      </w:r>
      <w:r w:rsidRPr="00A2772C">
        <w:t>ent and</w:t>
      </w:r>
      <w:r w:rsidRPr="00A2772C">
        <w:t xml:space="preserve"> re-deployability; and</w:t>
      </w:r>
    </w:p>
    <w:p w:rsidR="00A311DB" w:rsidRPr="00A2772C" w:rsidRDefault="00BE7ED1" w:rsidP="004D35D4">
      <w:pPr>
        <w:pStyle w:val="ListBullet"/>
      </w:pPr>
      <w:r w:rsidRPr="00A2772C">
        <w:t>Develop</w:t>
      </w:r>
      <w:r w:rsidRPr="00A2772C">
        <w:t>ing</w:t>
      </w:r>
      <w:r w:rsidRPr="00A2772C">
        <w:t xml:space="preserve"> strategic partnerships with Centres of Excellence, wherever they may be</w:t>
      </w:r>
      <w:r>
        <w:t>.</w:t>
      </w:r>
      <w:r w:rsidRPr="00A2772C">
        <w:t xml:space="preserve"> </w:t>
      </w:r>
    </w:p>
    <w:p w:rsidR="00B0590C" w:rsidRPr="00A2772C" w:rsidRDefault="00BE7ED1" w:rsidP="00505239">
      <w:pPr>
        <w:pStyle w:val="Heading3"/>
      </w:pPr>
      <w:r w:rsidRPr="00A2772C">
        <w:t>Strategic Aim 5</w:t>
      </w:r>
      <w:r w:rsidRPr="00A2772C">
        <w:t xml:space="preserve"> – </w:t>
      </w:r>
      <w:r w:rsidRPr="0074708B">
        <w:rPr>
          <w:i/>
        </w:rPr>
        <w:t>‘</w:t>
      </w:r>
      <w:r w:rsidRPr="0074708B">
        <w:rPr>
          <w:i/>
        </w:rPr>
        <w:t xml:space="preserve">Letting </w:t>
      </w:r>
      <w:r w:rsidRPr="0074708B">
        <w:rPr>
          <w:i/>
        </w:rPr>
        <w:t>the</w:t>
      </w:r>
      <w:r w:rsidRPr="0074708B">
        <w:rPr>
          <w:i/>
        </w:rPr>
        <w:t xml:space="preserve"> World Know!</w:t>
      </w:r>
      <w:r w:rsidRPr="0074708B">
        <w:rPr>
          <w:i/>
        </w:rPr>
        <w:t>’</w:t>
      </w:r>
    </w:p>
    <w:p w:rsidR="00B0590C" w:rsidRPr="00A2772C" w:rsidRDefault="00BE7ED1" w:rsidP="00B0590C">
      <w:pPr>
        <w:pStyle w:val="NormalNumbered"/>
      </w:pPr>
      <w:r w:rsidRPr="00A2772C">
        <w:t xml:space="preserve">Competition between places and economies is intensifying, and </w:t>
      </w:r>
      <w:r w:rsidRPr="00A2772C">
        <w:t xml:space="preserve">with new global trading relationships to be shaped and developed, this is likely to continue. Lancashire is not </w:t>
      </w:r>
      <w:r w:rsidRPr="00A2772C">
        <w:t>instinctively</w:t>
      </w:r>
      <w:r w:rsidRPr="00A2772C">
        <w:t xml:space="preserve"> recognised </w:t>
      </w:r>
      <w:r w:rsidRPr="00A2772C">
        <w:t>externally as a place for innovative, can-do solutions. We know what we are good at, others do not.</w:t>
      </w:r>
    </w:p>
    <w:p w:rsidR="00AC699B" w:rsidRPr="00A2772C" w:rsidRDefault="00BE7ED1" w:rsidP="00B0590C">
      <w:pPr>
        <w:pStyle w:val="NormalNumbered"/>
      </w:pPr>
      <w:r w:rsidRPr="00A2772C">
        <w:t xml:space="preserve">This is partly due </w:t>
      </w:r>
      <w:r w:rsidRPr="00A2772C">
        <w:t xml:space="preserve">to the lack of a clear, coherent, and comprehensive innovation narrative. There are innovation success stories in Lancashire but these are yet to be pulled together to </w:t>
      </w:r>
      <w:r w:rsidRPr="00A2772C">
        <w:t>show</w:t>
      </w:r>
      <w:r w:rsidRPr="00A2772C">
        <w:t xml:space="preserve"> Lancashire’s innovation offer. This has resulted from insufficient resources given </w:t>
      </w:r>
      <w:r w:rsidRPr="00A2772C">
        <w:t xml:space="preserve">to promoting and </w:t>
      </w:r>
      <w:r w:rsidRPr="0074708B">
        <w:rPr>
          <w:noProof/>
        </w:rPr>
        <w:t>coordinating</w:t>
      </w:r>
      <w:r w:rsidRPr="00A2772C">
        <w:t xml:space="preserve"> innovation. Increasing the visibility of the importance of innovation in Lancashire will correct this.</w:t>
      </w:r>
    </w:p>
    <w:p w:rsidR="00D8685C" w:rsidRPr="00A2772C" w:rsidRDefault="00BE7ED1" w:rsidP="00296A42">
      <w:pPr>
        <w:pStyle w:val="NormalNumbered"/>
      </w:pPr>
      <w:r w:rsidRPr="00A2772C">
        <w:t xml:space="preserve">To let the world know, </w:t>
      </w:r>
      <w:r w:rsidRPr="00A2772C">
        <w:t>this Strategic Aim will focus on</w:t>
      </w:r>
      <w:r w:rsidRPr="00A2772C">
        <w:t>:</w:t>
      </w:r>
    </w:p>
    <w:p w:rsidR="00D519A7" w:rsidRPr="00A2772C" w:rsidRDefault="00BE7ED1" w:rsidP="00D519A7">
      <w:pPr>
        <w:pStyle w:val="ListBullet"/>
      </w:pPr>
      <w:r w:rsidRPr="00A2772C">
        <w:t>Develop</w:t>
      </w:r>
      <w:r w:rsidRPr="00A2772C">
        <w:t>ing</w:t>
      </w:r>
      <w:r w:rsidRPr="00A2772C">
        <w:t xml:space="preserve"> this innovation plan </w:t>
      </w:r>
      <w:r>
        <w:t>and</w:t>
      </w:r>
      <w:r w:rsidRPr="00A2772C">
        <w:t xml:space="preserve"> SEP refresh to help establish </w:t>
      </w:r>
      <w:r w:rsidRPr="00A2772C">
        <w:t xml:space="preserve">a coherent innovation </w:t>
      </w:r>
      <w:r>
        <w:t>and</w:t>
      </w:r>
      <w:r w:rsidRPr="00A2772C">
        <w:t xml:space="preserve"> growth framework for Lancashire;</w:t>
      </w:r>
    </w:p>
    <w:p w:rsidR="00D519A7" w:rsidRPr="00A2772C" w:rsidRDefault="00BE7ED1" w:rsidP="00D519A7">
      <w:pPr>
        <w:pStyle w:val="ListBullet"/>
      </w:pPr>
      <w:r w:rsidRPr="00A2772C">
        <w:t>Develop</w:t>
      </w:r>
      <w:r w:rsidRPr="00A2772C">
        <w:t>ing</w:t>
      </w:r>
      <w:r w:rsidRPr="00A2772C">
        <w:t xml:space="preserve"> a proactive function to promote &amp; celebrate innovation in the county;</w:t>
      </w:r>
    </w:p>
    <w:p w:rsidR="00D519A7" w:rsidRPr="00A2772C" w:rsidRDefault="00BE7ED1" w:rsidP="00D519A7">
      <w:pPr>
        <w:pStyle w:val="ListBullet"/>
      </w:pPr>
      <w:r w:rsidRPr="00A2772C">
        <w:t>Provid</w:t>
      </w:r>
      <w:r w:rsidRPr="00A2772C">
        <w:t>ing</w:t>
      </w:r>
      <w:r w:rsidRPr="00A2772C">
        <w:t xml:space="preserve"> clear </w:t>
      </w:r>
      <w:r>
        <w:t>and</w:t>
      </w:r>
      <w:r w:rsidRPr="00A2772C">
        <w:t xml:space="preserve"> expert leadership </w:t>
      </w:r>
      <w:r>
        <w:rPr>
          <w:noProof/>
        </w:rPr>
        <w:t>i</w:t>
      </w:r>
      <w:r w:rsidRPr="00C366CC">
        <w:rPr>
          <w:noProof/>
        </w:rPr>
        <w:t>n</w:t>
      </w:r>
      <w:r w:rsidRPr="00A2772C">
        <w:t xml:space="preserve"> shaping national innovation thinking; and</w:t>
      </w:r>
    </w:p>
    <w:p w:rsidR="00D8685C" w:rsidRPr="00A2772C" w:rsidRDefault="00BE7ED1" w:rsidP="00D519A7">
      <w:pPr>
        <w:pStyle w:val="ListBullet"/>
      </w:pPr>
      <w:r w:rsidRPr="00A2772C">
        <w:t>Connect</w:t>
      </w:r>
      <w:r w:rsidRPr="00A2772C">
        <w:t>ing</w:t>
      </w:r>
      <w:r w:rsidRPr="00A2772C">
        <w:t xml:space="preserve"> for innovation – through Global Innovation Networks and Global Value Chains.</w:t>
      </w:r>
    </w:p>
    <w:p w:rsidR="00B0590C" w:rsidRPr="00A2772C" w:rsidRDefault="00BE7ED1" w:rsidP="00B0590C">
      <w:pPr>
        <w:pStyle w:val="Heading2"/>
      </w:pPr>
      <w:bookmarkStart w:id="167" w:name="_Toc502674273"/>
      <w:bookmarkStart w:id="168" w:name="_Toc502734618"/>
      <w:bookmarkStart w:id="169" w:name="_Toc502744331"/>
      <w:bookmarkStart w:id="170" w:name="_Toc504469792"/>
      <w:bookmarkStart w:id="171" w:name="_Toc504490232"/>
      <w:bookmarkStart w:id="172" w:name="_Toc504563079"/>
      <w:bookmarkStart w:id="173" w:name="_Toc505073278"/>
      <w:bookmarkStart w:id="174" w:name="_Toc505073773"/>
      <w:bookmarkStart w:id="175" w:name="_Toc508803094"/>
      <w:r w:rsidRPr="00A2772C">
        <w:t>Cross-Cutting Themes</w:t>
      </w:r>
      <w:bookmarkEnd w:id="167"/>
      <w:bookmarkEnd w:id="168"/>
      <w:bookmarkEnd w:id="169"/>
      <w:bookmarkEnd w:id="170"/>
      <w:bookmarkEnd w:id="171"/>
      <w:bookmarkEnd w:id="172"/>
      <w:bookmarkEnd w:id="173"/>
      <w:bookmarkEnd w:id="174"/>
      <w:bookmarkEnd w:id="175"/>
    </w:p>
    <w:p w:rsidR="0099043A" w:rsidRPr="00A2772C" w:rsidRDefault="00BE7ED1" w:rsidP="0099043A">
      <w:pPr>
        <w:pStyle w:val="NormalNumbered"/>
      </w:pPr>
      <w:r>
        <w:t xml:space="preserve">Three </w:t>
      </w:r>
      <w:r w:rsidRPr="00A2772C">
        <w:t>cross-cutting themes</w:t>
      </w:r>
      <w:r w:rsidRPr="00A2772C">
        <w:t xml:space="preserve"> will</w:t>
      </w:r>
      <w:r w:rsidRPr="00A2772C">
        <w:t xml:space="preserve"> underpin and set the culture and delivery approach to the Strategic Aims. The</w:t>
      </w:r>
      <w:r>
        <w:t xml:space="preserve">se are </w:t>
      </w:r>
      <w:r w:rsidRPr="00A2772C">
        <w:t>as follows:</w:t>
      </w:r>
    </w:p>
    <w:p w:rsidR="0099043A" w:rsidRPr="00A2772C" w:rsidRDefault="00BE7ED1" w:rsidP="0099043A">
      <w:pPr>
        <w:pStyle w:val="Heading3"/>
      </w:pPr>
      <w:r w:rsidRPr="00A2772C">
        <w:t>Application-inspired in our R</w:t>
      </w:r>
      <w:r w:rsidRPr="00A2772C">
        <w:t>&amp;D and its deployment</w:t>
      </w:r>
    </w:p>
    <w:p w:rsidR="0099043A" w:rsidRPr="00A2772C" w:rsidRDefault="00BE7ED1" w:rsidP="005F2CDA">
      <w:pPr>
        <w:pStyle w:val="ListBullet"/>
      </w:pPr>
      <w:r w:rsidRPr="00A2772C">
        <w:t xml:space="preserve">This theme is about the application of R&amp;D and innovation, not just its creation. </w:t>
      </w:r>
      <w:r w:rsidRPr="00A2772C">
        <w:t xml:space="preserve">Lancashire will be a place that adopts innovation generated within Lancashire and beyond, putting ideas </w:t>
      </w:r>
      <w:r w:rsidRPr="00C366CC">
        <w:rPr>
          <w:noProof/>
        </w:rPr>
        <w:t>into</w:t>
      </w:r>
      <w:r w:rsidRPr="00A2772C">
        <w:t xml:space="preserve"> action. R&amp;D in Lancashire will focus on practical solutions to emerging and large-scale challenges.</w:t>
      </w:r>
      <w:r w:rsidRPr="00A2772C">
        <w:t xml:space="preserve"> These ideas will be commercialised an</w:t>
      </w:r>
      <w:r w:rsidRPr="00A2772C">
        <w:t>d exported to different markets both domestic and international.</w:t>
      </w:r>
    </w:p>
    <w:p w:rsidR="0099043A" w:rsidRPr="00A2772C" w:rsidRDefault="00BE7ED1" w:rsidP="0099043A">
      <w:pPr>
        <w:pStyle w:val="Heading3"/>
      </w:pPr>
      <w:r w:rsidRPr="00A2772C">
        <w:t xml:space="preserve">Excellence in delivery, driven by </w:t>
      </w:r>
      <w:r w:rsidRPr="00A2772C">
        <w:rPr>
          <w:i/>
        </w:rPr>
        <w:t>real</w:t>
      </w:r>
      <w:r w:rsidRPr="00A2772C">
        <w:t xml:space="preserve"> evaluation and</w:t>
      </w:r>
      <w:r w:rsidRPr="00A2772C">
        <w:t xml:space="preserve"> learning</w:t>
      </w:r>
    </w:p>
    <w:p w:rsidR="0099043A" w:rsidRPr="00A2772C" w:rsidRDefault="00BE7ED1" w:rsidP="005F2CDA">
      <w:pPr>
        <w:pStyle w:val="ListBullet"/>
      </w:pPr>
      <w:r w:rsidRPr="00A2772C">
        <w:t xml:space="preserve">We understand that delivery of this Plan will be challenging. We need to understand that the structures and processes that have supported innovation in the past may not be </w:t>
      </w:r>
      <w:r w:rsidRPr="00A2772C">
        <w:lastRenderedPageBreak/>
        <w:t>suitable to meet the challenges of the future. In developing, restructurin</w:t>
      </w:r>
      <w:r w:rsidRPr="00A2772C">
        <w:t>g, and creating new process and structures we need to look to learn from our experiences, and those of other places.</w:t>
      </w:r>
    </w:p>
    <w:p w:rsidR="0099043A" w:rsidRPr="00A2772C" w:rsidRDefault="00BE7ED1" w:rsidP="0099043A">
      <w:pPr>
        <w:pStyle w:val="Heading3"/>
      </w:pPr>
      <w:r w:rsidRPr="00A2772C">
        <w:t>Collaborating for a competitive Lancashire</w:t>
      </w:r>
    </w:p>
    <w:p w:rsidR="00911F26" w:rsidRPr="00A2772C" w:rsidRDefault="00BE7ED1" w:rsidP="005F2CDA">
      <w:pPr>
        <w:pStyle w:val="ListBullet"/>
      </w:pPr>
      <w:r w:rsidRPr="00A2772C">
        <w:t>As with the ultra-reliable technology crossover example from earlier, there are significant coll</w:t>
      </w:r>
      <w:r w:rsidRPr="00A2772C">
        <w:t xml:space="preserve">aboration opportunities for Lancashire’s innovators. This can be within and across </w:t>
      </w:r>
      <w:r w:rsidRPr="00A2772C">
        <w:t>both supply chains and sectors.</w:t>
      </w:r>
      <w:r w:rsidRPr="00A2772C">
        <w:t xml:space="preserve"> This will streng</w:t>
      </w:r>
      <w:r w:rsidRPr="00A2772C">
        <w:t xml:space="preserve">then existing sector assets and </w:t>
      </w:r>
      <w:r>
        <w:t>Smart Specialisation</w:t>
      </w:r>
      <w:r w:rsidRPr="00A2772C">
        <w:t>s</w:t>
      </w:r>
      <w:r w:rsidRPr="00A2772C">
        <w:t>,</w:t>
      </w:r>
      <w:r w:rsidRPr="00A2772C">
        <w:t xml:space="preserve"> and support new routeways to innovation.</w:t>
      </w:r>
      <w:r w:rsidRPr="00A2772C">
        <w:t xml:space="preserve"> Exploiting these crossovers w</w:t>
      </w:r>
      <w:r w:rsidRPr="00A2772C">
        <w:t>ill develop Lancashire’s capabilities, infrastructures, and build resilience across the economy.</w:t>
      </w:r>
    </w:p>
    <w:p w:rsidR="00376591" w:rsidRPr="00A2772C" w:rsidRDefault="00BE7ED1" w:rsidP="00376591">
      <w:pPr>
        <w:pStyle w:val="NormalNumbered"/>
        <w:sectPr w:rsidR="00376591" w:rsidRPr="00A2772C" w:rsidSect="00C366CC">
          <w:pgSz w:w="11906" w:h="16838" w:code="9"/>
          <w:pgMar w:top="1440" w:right="1418" w:bottom="1701" w:left="2007" w:header="720" w:footer="720" w:gutter="0"/>
          <w:cols w:space="708"/>
          <w:docGrid w:linePitch="360"/>
        </w:sectPr>
      </w:pPr>
      <w:r w:rsidRPr="00A2772C">
        <w:t xml:space="preserve">Our Plan on a page is </w:t>
      </w:r>
      <w:r>
        <w:rPr>
          <w:noProof/>
        </w:rPr>
        <w:t>in</w:t>
      </w:r>
      <w:r w:rsidRPr="00A2772C">
        <w:t xml:space="preserve"> </w:t>
      </w:r>
      <w:r w:rsidRPr="00A2772C">
        <w:fldChar w:fldCharType="begin"/>
      </w:r>
      <w:r w:rsidRPr="00A2772C">
        <w:instrText xml:space="preserve"> REF _Ref502740632 \h </w:instrText>
      </w:r>
      <w:r w:rsidRPr="00A2772C">
        <w:fldChar w:fldCharType="separate"/>
      </w:r>
      <w:r>
        <w:t xml:space="preserve">Figure </w:t>
      </w:r>
      <w:r>
        <w:rPr>
          <w:noProof/>
        </w:rPr>
        <w:t>6</w:t>
      </w:r>
      <w:r w:rsidRPr="00A2772C">
        <w:fldChar w:fldCharType="end"/>
      </w:r>
      <w:r w:rsidRPr="00A2772C">
        <w:t>.</w:t>
      </w:r>
    </w:p>
    <w:p w:rsidR="006079E2" w:rsidRPr="00A2772C" w:rsidRDefault="00BE7ED1" w:rsidP="006079E2">
      <w:pPr>
        <w:pStyle w:val="Heading3"/>
        <w:numPr>
          <w:ilvl w:val="0"/>
          <w:numId w:val="0"/>
        </w:numPr>
        <w:sectPr w:rsidR="006079E2" w:rsidRPr="00A2772C" w:rsidSect="0074708B">
          <w:headerReference w:type="even" r:id="rId38"/>
          <w:headerReference w:type="first" r:id="rId39"/>
          <w:pgSz w:w="16838" w:h="11906" w:orient="landscape" w:code="9"/>
          <w:pgMar w:top="142" w:right="1440" w:bottom="630" w:left="1701" w:header="720" w:footer="720" w:gutter="0"/>
          <w:cols w:space="708"/>
          <w:docGrid w:linePitch="360"/>
        </w:sectPr>
      </w:pPr>
      <w:r w:rsidRPr="00A2772C">
        <w:rPr>
          <w:noProof/>
          <w:lang w:eastAsia="en-GB"/>
        </w:rPr>
        <w:lastRenderedPageBreak/>
        <mc:AlternateContent>
          <mc:Choice Requires="wps">
            <w:drawing>
              <wp:anchor distT="0" distB="0" distL="114300" distR="114300" simplePos="0" relativeHeight="251660288" behindDoc="1" locked="0" layoutInCell="1" allowOverlap="1">
                <wp:simplePos x="0" y="0"/>
                <wp:positionH relativeFrom="margin">
                  <wp:posOffset>-738</wp:posOffset>
                </wp:positionH>
                <wp:positionV relativeFrom="page">
                  <wp:posOffset>668962</wp:posOffset>
                </wp:positionV>
                <wp:extent cx="9134475" cy="257175"/>
                <wp:effectExtent l="0" t="0" r="9525" b="9525"/>
                <wp:wrapTight wrapText="bothSides">
                  <wp:wrapPolygon edited="0">
                    <wp:start x="0" y="0"/>
                    <wp:lineTo x="0" y="20800"/>
                    <wp:lineTo x="21577" y="20800"/>
                    <wp:lineTo x="21577"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9134475" cy="257175"/>
                        </a:xfrm>
                        <a:prstGeom prst="rect">
                          <a:avLst/>
                        </a:prstGeom>
                        <a:solidFill>
                          <a:prstClr val="white"/>
                        </a:solidFill>
                        <a:ln>
                          <a:noFill/>
                        </a:ln>
                      </wps:spPr>
                      <wps:txbx>
                        <w:txbxContent>
                          <w:p w:rsidR="005D059C" w:rsidRPr="004E5BB8" w:rsidRDefault="00BE7ED1" w:rsidP="008D1416">
                            <w:pPr>
                              <w:pStyle w:val="Caption"/>
                              <w:rPr>
                                <w:noProof/>
                                <w:sz w:val="22"/>
                                <w:szCs w:val="22"/>
                              </w:rPr>
                            </w:pPr>
                            <w:bookmarkStart w:id="176" w:name="_Ref502740632"/>
                            <w:bookmarkStart w:id="177" w:name="_Toc508803164"/>
                            <w:r>
                              <w:t xml:space="preserve">Figure </w:t>
                            </w:r>
                            <w:r>
                              <w:fldChar w:fldCharType="begin"/>
                            </w:r>
                            <w:r>
                              <w:instrText xml:space="preserve"> SEQ Figure \* ARABIC </w:instrText>
                            </w:r>
                            <w:r>
                              <w:fldChar w:fldCharType="separate"/>
                            </w:r>
                            <w:r>
                              <w:rPr>
                                <w:noProof/>
                              </w:rPr>
                              <w:t>6</w:t>
                            </w:r>
                            <w:r>
                              <w:rPr>
                                <w:noProof/>
                              </w:rPr>
                              <w:fldChar w:fldCharType="end"/>
                            </w:r>
                            <w:bookmarkEnd w:id="176"/>
                            <w:r>
                              <w:t xml:space="preserve"> – The Lancashire Innovation Plan Strategic Framework</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width:719.25pt;height:20.25pt;margin-top:52.65pt;margin-left:-0.05pt;mso-height-percent:0;mso-height-relative:margin;mso-position-horizontal-relative:margin;mso-position-vertical-relative:page;mso-wrap-distance-bottom:0;mso-wrap-distance-left:9pt;mso-wrap-distance-right:9pt;mso-wrap-distance-top:0;mso-wrap-style:square;position:absolute;visibility:visible;v-text-anchor:top;z-index:-251655168" stroked="f">
                <v:textbox inset="0,0,0,0">
                  <w:txbxContent>
                    <w:p w:rsidR="005D059C" w:rsidRPr="004E5BB8" w:rsidP="008D1416">
                      <w:pPr>
                        <w:pStyle w:val="Caption"/>
                        <w:rPr>
                          <w:noProof/>
                          <w:sz w:val="22"/>
                          <w:szCs w:val="22"/>
                        </w:rPr>
                      </w:pPr>
                      <w:bookmarkStart w:id="176" w:name="_Ref502740632"/>
                      <w:bookmarkStart w:id="177" w:name="_Toc508803164"/>
                      <w:r>
                        <w:t xml:space="preserve">Figure </w:t>
                      </w:r>
                      <w:r>
                        <w:fldChar w:fldCharType="begin"/>
                      </w:r>
                      <w:r>
                        <w:instrText xml:space="preserve"> SEQ Figure \* ARABIC </w:instrText>
                      </w:r>
                      <w:r>
                        <w:fldChar w:fldCharType="separate"/>
                      </w:r>
                      <w:r>
                        <w:rPr>
                          <w:noProof/>
                        </w:rPr>
                        <w:t>6</w:t>
                      </w:r>
                      <w:r>
                        <w:rPr>
                          <w:noProof/>
                        </w:rPr>
                        <w:fldChar w:fldCharType="end"/>
                      </w:r>
                      <w:bookmarkEnd w:id="176"/>
                      <w:r>
                        <w:t xml:space="preserve"> – The Lancashire Innovation Plan Strategic Framework</w:t>
                      </w:r>
                      <w:bookmarkEnd w:id="177"/>
                    </w:p>
                  </w:txbxContent>
                </v:textbox>
                <w10:wrap type="tight"/>
              </v:shape>
            </w:pict>
          </mc:Fallback>
        </mc:AlternateContent>
      </w:r>
      <w:r w:rsidRPr="00A2772C">
        <w:rPr>
          <w:noProof/>
          <w:lang w:eastAsia="en-GB"/>
        </w:rPr>
        <mc:AlternateContent>
          <mc:Choice Requires="wps">
            <w:drawing>
              <wp:anchor distT="0" distB="0" distL="114300" distR="114300" simplePos="0" relativeHeight="251663360" behindDoc="1" locked="0" layoutInCell="1" allowOverlap="1">
                <wp:simplePos x="0" y="0"/>
                <wp:positionH relativeFrom="margin">
                  <wp:align>left</wp:align>
                </wp:positionH>
                <wp:positionV relativeFrom="page">
                  <wp:posOffset>7243986</wp:posOffset>
                </wp:positionV>
                <wp:extent cx="9134475" cy="25717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9134475" cy="257175"/>
                        </a:xfrm>
                        <a:prstGeom prst="rect">
                          <a:avLst/>
                        </a:prstGeom>
                        <a:solidFill>
                          <a:prstClr val="white"/>
                        </a:solidFill>
                        <a:ln>
                          <a:noFill/>
                        </a:ln>
                      </wps:spPr>
                      <wps:txbx>
                        <w:txbxContent>
                          <w:p w:rsidR="005D059C" w:rsidRPr="004E5BB8" w:rsidRDefault="00BE7ED1" w:rsidP="00865EF8">
                            <w:pPr>
                              <w:pStyle w:val="Source"/>
                              <w:rPr>
                                <w:noProof/>
                                <w:sz w:val="22"/>
                              </w:rPr>
                            </w:pPr>
                            <w:r w:rsidRPr="00865EF8">
                              <w:t>Source: SDG-Economic Development</w:t>
                            </w:r>
                            <w:r>
                              <w: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6" o:spid="_x0000_s1027" type="#_x0000_t202" style="width:719.25pt;height:20.25pt;margin-top:570.4pt;margin-left:0;mso-height-percent:0;mso-height-relative:margin;mso-position-horizontal:left;mso-position-horizontal-relative:margin;mso-position-vertical-relative:page;mso-wrap-distance-bottom:0;mso-wrap-distance-left:9pt;mso-wrap-distance-right:9pt;mso-wrap-distance-top:0;mso-wrap-style:square;position:absolute;visibility:visible;v-text-anchor:top;z-index:-251652096" stroked="f">
                <v:textbox inset="0,0,0,0">
                  <w:txbxContent>
                    <w:p w:rsidR="005D059C" w:rsidRPr="004E5BB8" w:rsidP="00865EF8">
                      <w:pPr>
                        <w:pStyle w:val="Source"/>
                        <w:rPr>
                          <w:noProof/>
                          <w:sz w:val="22"/>
                        </w:rPr>
                      </w:pPr>
                      <w:r w:rsidRPr="00865EF8">
                        <w:t>Source: SDG-Economic Development</w:t>
                      </w:r>
                      <w:r>
                        <w:t>, 2018</w:t>
                      </w:r>
                    </w:p>
                  </w:txbxContent>
                </v:textbox>
                <w10:wrap type="square"/>
              </v:shape>
            </w:pict>
          </mc:Fallback>
        </mc:AlternateContent>
      </w:r>
      <w:r>
        <w:rPr>
          <w:noProof/>
          <w:lang w:eastAsia="en-GB"/>
        </w:rPr>
        <w:drawing>
          <wp:anchor distT="0" distB="0" distL="114300" distR="114300" simplePos="0" relativeHeight="251665408" behindDoc="0" locked="0" layoutInCell="1" allowOverlap="1">
            <wp:simplePos x="0" y="0"/>
            <wp:positionH relativeFrom="column">
              <wp:posOffset>-843</wp:posOffset>
            </wp:positionH>
            <wp:positionV relativeFrom="paragraph">
              <wp:posOffset>-583</wp:posOffset>
            </wp:positionV>
            <wp:extent cx="8627110" cy="6565900"/>
            <wp:effectExtent l="0" t="0" r="254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37516" name="Picture 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627110" cy="656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565" w:rsidRPr="00A2772C" w:rsidRDefault="00BE7ED1" w:rsidP="0074708B">
      <w:pPr>
        <w:pStyle w:val="Heading1"/>
        <w:framePr w:wrap="notBeside"/>
      </w:pPr>
      <w:bookmarkStart w:id="178" w:name="_Toc508803095"/>
      <w:r w:rsidRPr="00A2772C">
        <w:lastRenderedPageBreak/>
        <w:t xml:space="preserve">Our Action </w:t>
      </w:r>
      <w:r w:rsidRPr="00A2772C">
        <w:t>Agenda for an Innovat</w:t>
      </w:r>
      <w:r w:rsidRPr="00A2772C">
        <w:t xml:space="preserve">ion </w:t>
      </w:r>
      <w:r w:rsidRPr="00A2772C">
        <w:t>Economy</w:t>
      </w:r>
      <w:bookmarkEnd w:id="178"/>
    </w:p>
    <w:p w:rsidR="00320A74" w:rsidRPr="00A2772C" w:rsidRDefault="00BE7ED1" w:rsidP="00275903">
      <w:pPr>
        <w:pStyle w:val="PullQuote"/>
      </w:pPr>
      <w:bookmarkStart w:id="179" w:name="_Toc502734620"/>
      <w:bookmarkStart w:id="180" w:name="_Toc502744333"/>
      <w:bookmarkStart w:id="181" w:name="_Toc504469794"/>
      <w:bookmarkStart w:id="182" w:name="_Toc504490234"/>
      <w:r w:rsidRPr="00A2772C">
        <w:t xml:space="preserve">This </w:t>
      </w:r>
      <w:r w:rsidRPr="00A2772C">
        <w:t xml:space="preserve">Section </w:t>
      </w:r>
      <w:r w:rsidRPr="00A2772C">
        <w:t xml:space="preserve">sets out our Action Agenda, the actions and activities recommended </w:t>
      </w:r>
      <w:r w:rsidRPr="0074708B">
        <w:rPr>
          <w:noProof/>
        </w:rPr>
        <w:t>to implement</w:t>
      </w:r>
      <w:r w:rsidRPr="00A2772C">
        <w:t xml:space="preserve"> the Vision and Framework.</w:t>
      </w:r>
      <w:bookmarkEnd w:id="179"/>
      <w:bookmarkEnd w:id="180"/>
      <w:bookmarkEnd w:id="181"/>
      <w:bookmarkEnd w:id="182"/>
    </w:p>
    <w:p w:rsidR="009C0E82" w:rsidRPr="00A2772C" w:rsidRDefault="00BE7ED1" w:rsidP="009C0E82">
      <w:pPr>
        <w:pStyle w:val="NormalNumbered"/>
      </w:pPr>
      <w:r w:rsidRPr="00A2772C">
        <w:t xml:space="preserve">Whilst the Vision and Strategic Framework are for the long term, an Action </w:t>
      </w:r>
      <w:r w:rsidRPr="00A2772C">
        <w:t>Agenda</w:t>
      </w:r>
      <w:r w:rsidRPr="00A2772C">
        <w:t xml:space="preserve"> is typically subject to regular review (e.g. every couple of years)</w:t>
      </w:r>
      <w:r>
        <w:t xml:space="preserve">. </w:t>
      </w:r>
      <w:r w:rsidRPr="00A2772C">
        <w:t xml:space="preserve">The focus of </w:t>
      </w:r>
      <w:r w:rsidRPr="00A2772C">
        <w:t xml:space="preserve">our </w:t>
      </w:r>
      <w:r w:rsidRPr="00A2772C">
        <w:t xml:space="preserve">Action </w:t>
      </w:r>
      <w:r w:rsidRPr="00A2772C">
        <w:t>Agenda</w:t>
      </w:r>
      <w:r w:rsidRPr="00A2772C">
        <w:t xml:space="preserve"> is therefore on what can be done over the next few years to progress Lancashire’s Innovation Plan; some of these actions are ‘stand-alone’ and can be compl</w:t>
      </w:r>
      <w:r w:rsidRPr="00A2772C">
        <w:t>eted in the short term, others are contributions to longer-term developments</w:t>
      </w:r>
      <w:r w:rsidRPr="00A2772C">
        <w:t>.</w:t>
      </w:r>
    </w:p>
    <w:p w:rsidR="009C0E82" w:rsidRPr="00A2772C" w:rsidRDefault="00BE7ED1" w:rsidP="009C0E82">
      <w:pPr>
        <w:pStyle w:val="NormalNumbered"/>
      </w:pPr>
      <w:r w:rsidRPr="00A2772C">
        <w:t xml:space="preserve">The prime emphasis in this </w:t>
      </w:r>
      <w:r w:rsidRPr="00A2772C">
        <w:t xml:space="preserve">Section </w:t>
      </w:r>
      <w:r w:rsidRPr="00A2772C">
        <w:t>is on those new actions, which, in consultation with partners, we judge are of major importance for Lancashire’s future innovation capacity and</w:t>
      </w:r>
      <w:r w:rsidRPr="00A2772C">
        <w:t xml:space="preserve"> capability</w:t>
      </w:r>
      <w:r>
        <w:t xml:space="preserve">. </w:t>
      </w:r>
      <w:r w:rsidRPr="00A2772C">
        <w:t xml:space="preserve">They are not, however, the only actions; through partners’ </w:t>
      </w:r>
      <w:r w:rsidRPr="00A2772C">
        <w:t>ongoing commitments and activities</w:t>
      </w:r>
      <w:r w:rsidRPr="00A2772C">
        <w:t>, a wide range of activity is already underway in Lancashire.</w:t>
      </w:r>
    </w:p>
    <w:p w:rsidR="008460E7" w:rsidRPr="00A2772C" w:rsidRDefault="00BE7ED1" w:rsidP="00FB7085">
      <w:pPr>
        <w:pStyle w:val="NormalNumbered"/>
      </w:pPr>
      <w:r w:rsidRPr="00A2772C">
        <w:t xml:space="preserve">As part of the development of this </w:t>
      </w:r>
      <w:r w:rsidRPr="00A2772C">
        <w:t>Action Agenda</w:t>
      </w:r>
      <w:r w:rsidRPr="00A2772C">
        <w:t xml:space="preserve">, </w:t>
      </w:r>
      <w:r w:rsidRPr="00A2772C">
        <w:t>high-level</w:t>
      </w:r>
      <w:r w:rsidRPr="00A2772C">
        <w:t xml:space="preserve">, </w:t>
      </w:r>
      <w:r w:rsidRPr="00A2772C">
        <w:t xml:space="preserve">activity mapping work was </w:t>
      </w:r>
      <w:r w:rsidRPr="00A2772C">
        <w:t xml:space="preserve">undertaken to </w:t>
      </w:r>
      <w:r w:rsidRPr="00A2772C">
        <w:t>identify existing and pipeline actions that could contribute to</w:t>
      </w:r>
      <w:r>
        <w:t xml:space="preserve"> the</w:t>
      </w:r>
      <w:r w:rsidRPr="00A2772C">
        <w:t xml:space="preserve"> </w:t>
      </w:r>
      <w:r w:rsidRPr="00C366CC">
        <w:rPr>
          <w:noProof/>
        </w:rPr>
        <w:t>delivery</w:t>
      </w:r>
      <w:r w:rsidRPr="00A2772C">
        <w:t xml:space="preserve"> of</w:t>
      </w:r>
      <w:r w:rsidRPr="00A2772C">
        <w:t xml:space="preserve"> our Innovation</w:t>
      </w:r>
      <w:r w:rsidRPr="00A2772C">
        <w:t xml:space="preserve"> Plan.</w:t>
      </w:r>
      <w:r w:rsidRPr="00A2772C">
        <w:t xml:space="preserve"> </w:t>
      </w:r>
      <w:r w:rsidRPr="00A2772C">
        <w:t>Below is a selection of key existing and emerging actions that will contribute to</w:t>
      </w:r>
      <w:r w:rsidRPr="00A2772C">
        <w:t xml:space="preserve"> our Plan’s</w:t>
      </w:r>
      <w:r w:rsidRPr="00A2772C">
        <w:t xml:space="preserve"> delivery. These are indicative and not exhaustiv</w:t>
      </w:r>
      <w:r w:rsidRPr="00A2772C">
        <w:t>e.</w:t>
      </w:r>
    </w:p>
    <w:p w:rsidR="00B4011E" w:rsidRPr="00A2772C" w:rsidRDefault="00BE7ED1" w:rsidP="00B4011E">
      <w:pPr>
        <w:pStyle w:val="ListBullet"/>
      </w:pPr>
      <w:r w:rsidRPr="00A2772C">
        <w:rPr>
          <w:b/>
        </w:rPr>
        <w:t>Lancashire Health Innovation Campus</w:t>
      </w:r>
      <w:r w:rsidRPr="00A2772C">
        <w:t xml:space="preserve"> </w:t>
      </w:r>
      <w:r>
        <w:t xml:space="preserve">– this </w:t>
      </w:r>
      <w:r w:rsidRPr="00A2772C">
        <w:t>multi-phased campus will provide R&amp;D space and facilities for the development of new services and technologies for health-related care. The aim of the development, based beside Lancaster University's Bailrigg c</w:t>
      </w:r>
      <w:r w:rsidRPr="00A2772C">
        <w:t xml:space="preserve">ampus, is to drive advances in technologies, products and ways of working to improve health and </w:t>
      </w:r>
      <w:r>
        <w:t>Healthcare</w:t>
      </w:r>
      <w:r w:rsidRPr="00A2772C">
        <w:t>. The vision is to create a world-class centre of excellence for innovation and research in populat</w:t>
      </w:r>
      <w:r w:rsidRPr="00A2772C">
        <w:t>ion health;</w:t>
      </w:r>
    </w:p>
    <w:p w:rsidR="00AA678F" w:rsidRPr="00A2772C" w:rsidRDefault="00BE7ED1" w:rsidP="00AA678F">
      <w:pPr>
        <w:pStyle w:val="ListBullet"/>
      </w:pPr>
      <w:r>
        <w:rPr>
          <w:b/>
        </w:rPr>
        <w:t xml:space="preserve">The </w:t>
      </w:r>
      <w:r w:rsidRPr="00A2772C">
        <w:rPr>
          <w:b/>
        </w:rPr>
        <w:t>Engineering Innovation Centre</w:t>
      </w:r>
      <w:r w:rsidRPr="00A2772C">
        <w:t xml:space="preserve"> </w:t>
      </w:r>
      <w:r>
        <w:t>–</w:t>
      </w:r>
      <w:r w:rsidRPr="00A2772C">
        <w:t xml:space="preserve"> </w:t>
      </w:r>
      <w:r>
        <w:t xml:space="preserve">opening </w:t>
      </w:r>
      <w:r w:rsidRPr="00A2772C">
        <w:t>fully in 2019, the Engineering Innovation Centre (EIC) will capitalise on the location of the University of Central Lancashire at the centre of one of the most intensive engineering and manufacturing areas in the UK. The EIC will be equipped to the</w:t>
      </w:r>
      <w:r w:rsidRPr="00A2772C">
        <w:t xml:space="preserve"> highest standard with technology demonstration areas and specialist work areas to create an integrated space for teaching, </w:t>
      </w:r>
      <w:r w:rsidRPr="00A2772C">
        <w:t>research and knowledge exchange;</w:t>
      </w:r>
      <w:r w:rsidRPr="00A2772C">
        <w:t xml:space="preserve"> </w:t>
      </w:r>
    </w:p>
    <w:p w:rsidR="00B4011E" w:rsidRPr="00A2772C" w:rsidRDefault="00BE7ED1" w:rsidP="00194827">
      <w:pPr>
        <w:pStyle w:val="ListBullet"/>
      </w:pPr>
      <w:r w:rsidRPr="00A2772C">
        <w:rPr>
          <w:b/>
        </w:rPr>
        <w:t>Edge Hill University Innovation Technology Hub</w:t>
      </w:r>
      <w:r w:rsidRPr="00A2772C">
        <w:t xml:space="preserve"> – the Hub will create new and refurbished, </w:t>
      </w:r>
      <w:r w:rsidRPr="00C366CC">
        <w:rPr>
          <w:noProof/>
        </w:rPr>
        <w:t>high</w:t>
      </w:r>
      <w:r>
        <w:rPr>
          <w:noProof/>
        </w:rPr>
        <w:t>-</w:t>
      </w:r>
      <w:r w:rsidRPr="00C366CC">
        <w:rPr>
          <w:noProof/>
        </w:rPr>
        <w:t>quality</w:t>
      </w:r>
      <w:r w:rsidRPr="00A2772C">
        <w:t xml:space="preserve"> space for teaching, learning, student employability, enterprise and knowledge exchange activities. The facility will support expansion in Digital Creative </w:t>
      </w:r>
      <w:r w:rsidRPr="00A2772C">
        <w:lastRenderedPageBreak/>
        <w:t xml:space="preserve">and Food Science (Biotechnology), to include bioinformatics, </w:t>
      </w:r>
      <w:r w:rsidRPr="00A2772C">
        <w:t>product design and prototyping;</w:t>
      </w:r>
    </w:p>
    <w:p w:rsidR="00B4011E" w:rsidRPr="00A2772C" w:rsidRDefault="00BE7ED1" w:rsidP="00194827">
      <w:pPr>
        <w:pStyle w:val="ListBullet"/>
      </w:pPr>
      <w:r w:rsidRPr="00A2772C">
        <w:rPr>
          <w:b/>
        </w:rPr>
        <w:t>Advanced Manufacturing Research Centre (AMRC)</w:t>
      </w:r>
      <w:r w:rsidRPr="00A2772C">
        <w:t xml:space="preserve"> – based at Samlesbury</w:t>
      </w:r>
      <w:r w:rsidRPr="00A2772C">
        <w:t>,</w:t>
      </w:r>
      <w:r w:rsidRPr="00A2772C">
        <w:t xml:space="preserve"> </w:t>
      </w:r>
      <w:r w:rsidRPr="00A2772C">
        <w:t xml:space="preserve">the AMRC North West will provide a regional centre tailored to the needs of North West companies, and aims to accelerate and demonstrate innovative technologies, tools, and techniques to </w:t>
      </w:r>
      <w:r w:rsidRPr="00A2772C">
        <w:t xml:space="preserve">competitively manufacture products and components using </w:t>
      </w:r>
      <w:r w:rsidRPr="00A2772C">
        <w:t>latest</w:t>
      </w:r>
      <w:r w:rsidRPr="00A2772C">
        <w:t xml:space="preserve"> manufacturing techniques</w:t>
      </w:r>
      <w:r w:rsidRPr="00A2772C">
        <w:t>; and</w:t>
      </w:r>
    </w:p>
    <w:p w:rsidR="00B21096" w:rsidRPr="00A2772C" w:rsidRDefault="00BE7ED1" w:rsidP="00B21096">
      <w:pPr>
        <w:pStyle w:val="ListBullet"/>
      </w:pPr>
      <w:r w:rsidRPr="00A2772C">
        <w:rPr>
          <w:b/>
        </w:rPr>
        <w:t>Lancashire Energy HQ</w:t>
      </w:r>
      <w:r w:rsidRPr="00A2772C">
        <w:t xml:space="preserve"> – located at Blackpool and Fylde College, the </w:t>
      </w:r>
      <w:r w:rsidRPr="00A2772C">
        <w:t>E</w:t>
      </w:r>
      <w:r w:rsidRPr="00A2772C">
        <w:t xml:space="preserve">nergy HQ is to provide national </w:t>
      </w:r>
      <w:r>
        <w:t>Energy</w:t>
      </w:r>
      <w:r w:rsidRPr="00A2772C">
        <w:t xml:space="preserve"> training headquarters designed to meet the training need</w:t>
      </w:r>
      <w:r w:rsidRPr="00A2772C">
        <w:t xml:space="preserve">s of the </w:t>
      </w:r>
      <w:r>
        <w:t>Energy</w:t>
      </w:r>
      <w:r w:rsidRPr="00A2772C">
        <w:t xml:space="preserve"> and oil and gas sector</w:t>
      </w:r>
      <w:r w:rsidRPr="00A2772C">
        <w:t>s</w:t>
      </w:r>
      <w:r w:rsidRPr="00A2772C">
        <w:t xml:space="preserve">. </w:t>
      </w:r>
    </w:p>
    <w:p w:rsidR="008460E7" w:rsidRPr="00A2772C" w:rsidRDefault="00BE7ED1" w:rsidP="00B4011E">
      <w:pPr>
        <w:pStyle w:val="NormalNumbered"/>
      </w:pPr>
      <w:r w:rsidRPr="00A2772C">
        <w:t>The</w:t>
      </w:r>
      <w:r w:rsidRPr="00A2772C">
        <w:t>se examples and the</w:t>
      </w:r>
      <w:r w:rsidRPr="00A2772C">
        <w:t xml:space="preserve"> action mapping </w:t>
      </w:r>
      <w:r w:rsidRPr="00C366CC">
        <w:rPr>
          <w:noProof/>
        </w:rPr>
        <w:t xml:space="preserve">that </w:t>
      </w:r>
      <w:r>
        <w:rPr>
          <w:noProof/>
        </w:rPr>
        <w:t xml:space="preserve">has been </w:t>
      </w:r>
      <w:r w:rsidRPr="0074708B">
        <w:rPr>
          <w:noProof/>
        </w:rPr>
        <w:t>undertaken</w:t>
      </w:r>
      <w:r w:rsidRPr="00A2772C">
        <w:t xml:space="preserve"> so far </w:t>
      </w:r>
      <w:r w:rsidRPr="00A2772C">
        <w:t xml:space="preserve">shows that there is considerable activity underway across the </w:t>
      </w:r>
      <w:r>
        <w:t>private and public</w:t>
      </w:r>
      <w:r w:rsidRPr="00A2772C">
        <w:t xml:space="preserve"> sectors</w:t>
      </w:r>
      <w:r>
        <w:t xml:space="preserve">. </w:t>
      </w:r>
      <w:r w:rsidRPr="00A2772C">
        <w:t xml:space="preserve">The Growth Deal has stimulated </w:t>
      </w:r>
      <w:r>
        <w:t>many</w:t>
      </w:r>
      <w:r>
        <w:t xml:space="preserve"> innovation-</w:t>
      </w:r>
      <w:r w:rsidRPr="00A2772C">
        <w:t>related</w:t>
      </w:r>
      <w:r w:rsidRPr="00A2772C">
        <w:t xml:space="preserve"> initiat</w:t>
      </w:r>
      <w:r>
        <w:t>ives and partners including HEI</w:t>
      </w:r>
      <w:r w:rsidRPr="00A2772C">
        <w:t xml:space="preserve">s, FE providers, Innovate UK, ESIF and of </w:t>
      </w:r>
      <w:r w:rsidRPr="00C366CC">
        <w:rPr>
          <w:noProof/>
        </w:rPr>
        <w:t>course</w:t>
      </w:r>
      <w:r>
        <w:rPr>
          <w:noProof/>
        </w:rPr>
        <w:t>,</w:t>
      </w:r>
      <w:r w:rsidRPr="00A2772C">
        <w:t xml:space="preserve"> the business community </w:t>
      </w:r>
      <w:r w:rsidRPr="00C366CC">
        <w:rPr>
          <w:noProof/>
        </w:rPr>
        <w:t>ha</w:t>
      </w:r>
      <w:r>
        <w:rPr>
          <w:noProof/>
        </w:rPr>
        <w:t>s</w:t>
      </w:r>
      <w:r w:rsidRPr="00A2772C">
        <w:t xml:space="preserve"> and continue</w:t>
      </w:r>
      <w:r>
        <w:t>s</w:t>
      </w:r>
      <w:r w:rsidRPr="00A2772C">
        <w:t xml:space="preserve"> to invest tens of millions in maintaining and growing Lancashire’s </w:t>
      </w:r>
      <w:r w:rsidRPr="00A2772C">
        <w:t>innovation</w:t>
      </w:r>
      <w:r w:rsidRPr="00A2772C">
        <w:t xml:space="preserve"> capacity and eco</w:t>
      </w:r>
      <w:r w:rsidRPr="00A2772C">
        <w:t xml:space="preserve">system. </w:t>
      </w:r>
      <w:r w:rsidRPr="00A2772C">
        <w:t>C</w:t>
      </w:r>
      <w:r w:rsidRPr="00A2772C">
        <w:t xml:space="preserve">o-ordination </w:t>
      </w:r>
      <w:r w:rsidRPr="00A2772C">
        <w:t xml:space="preserve">and </w:t>
      </w:r>
      <w:r w:rsidRPr="00A2772C">
        <w:t>collaboration</w:t>
      </w:r>
      <w:r w:rsidRPr="00A2772C">
        <w:t xml:space="preserve"> to join these actions together will ensure opportunities are not missed.</w:t>
      </w:r>
      <w:r w:rsidRPr="00A2772C">
        <w:t xml:space="preserve"> </w:t>
      </w:r>
    </w:p>
    <w:p w:rsidR="001D723A" w:rsidRPr="00A2772C" w:rsidRDefault="00BE7ED1" w:rsidP="00A87EE8">
      <w:pPr>
        <w:pStyle w:val="NormalNumbered"/>
      </w:pPr>
      <w:r w:rsidRPr="00A2772C">
        <w:t xml:space="preserve">The remainder of this </w:t>
      </w:r>
      <w:r w:rsidRPr="00A2772C">
        <w:t xml:space="preserve">Section </w:t>
      </w:r>
      <w:r w:rsidRPr="00A2772C">
        <w:t>identif</w:t>
      </w:r>
      <w:r>
        <w:t xml:space="preserve">ies </w:t>
      </w:r>
      <w:r w:rsidRPr="00A2772C">
        <w:t xml:space="preserve">y key actions that can be pursued to deliver the Vision and Framework set out in this Plan. These will be grouped under each </w:t>
      </w:r>
      <w:r w:rsidRPr="00A2772C">
        <w:t>St</w:t>
      </w:r>
      <w:r w:rsidRPr="00A2772C">
        <w:t>rategic</w:t>
      </w:r>
      <w:r w:rsidRPr="00A2772C">
        <w:t xml:space="preserve"> Aim, </w:t>
      </w:r>
      <w:r w:rsidRPr="00C366CC">
        <w:rPr>
          <w:noProof/>
        </w:rPr>
        <w:t>however</w:t>
      </w:r>
      <w:r>
        <w:rPr>
          <w:noProof/>
        </w:rPr>
        <w:t>,</w:t>
      </w:r>
      <w:r w:rsidRPr="00A2772C">
        <w:t xml:space="preserve"> as with existing </w:t>
      </w:r>
      <w:r w:rsidRPr="00C366CC">
        <w:rPr>
          <w:noProof/>
        </w:rPr>
        <w:t>actions</w:t>
      </w:r>
      <w:r>
        <w:rPr>
          <w:noProof/>
        </w:rPr>
        <w:t>,</w:t>
      </w:r>
      <w:r w:rsidRPr="00A2772C">
        <w:t xml:space="preserve"> they are likely to contribute to the delivery of more than one Strategic Aim.</w:t>
      </w:r>
    </w:p>
    <w:p w:rsidR="001D723A" w:rsidRPr="00A2772C" w:rsidRDefault="00BE7ED1" w:rsidP="001D723A">
      <w:pPr>
        <w:pStyle w:val="Heading3"/>
        <w:sectPr w:rsidR="001D723A" w:rsidRPr="00A2772C" w:rsidSect="001D723A">
          <w:headerReference w:type="even" r:id="rId40"/>
          <w:headerReference w:type="first" r:id="rId41"/>
          <w:pgSz w:w="11906" w:h="16838" w:code="9"/>
          <w:pgMar w:top="1440" w:right="1418" w:bottom="1701" w:left="2007" w:header="720" w:footer="720" w:gutter="0"/>
          <w:cols w:space="708"/>
          <w:docGrid w:linePitch="360"/>
        </w:sectPr>
      </w:pPr>
    </w:p>
    <w:p w:rsidR="001D723A" w:rsidRPr="00A2772C" w:rsidRDefault="00BE7ED1" w:rsidP="00C366CC">
      <w:pPr>
        <w:pStyle w:val="Heading2"/>
        <w:ind w:hanging="426"/>
      </w:pPr>
      <w:bookmarkStart w:id="183" w:name="_Toc502674275"/>
      <w:bookmarkStart w:id="184" w:name="_Toc502734621"/>
      <w:bookmarkStart w:id="185" w:name="_Toc502744334"/>
      <w:bookmarkStart w:id="186" w:name="_Toc504469795"/>
      <w:bookmarkStart w:id="187" w:name="_Toc504490235"/>
      <w:bookmarkStart w:id="188" w:name="_Toc504563081"/>
      <w:bookmarkStart w:id="189" w:name="_Toc505073280"/>
      <w:bookmarkStart w:id="190" w:name="_Toc505073775"/>
      <w:bookmarkStart w:id="191" w:name="_Toc508803096"/>
      <w:r w:rsidRPr="00A2772C">
        <w:lastRenderedPageBreak/>
        <w:t>Strategic Aim 1 - Innovation Capability – Staying Ahead</w:t>
      </w:r>
      <w:bookmarkEnd w:id="183"/>
      <w:bookmarkEnd w:id="184"/>
      <w:bookmarkEnd w:id="185"/>
      <w:bookmarkEnd w:id="186"/>
      <w:bookmarkEnd w:id="187"/>
      <w:bookmarkEnd w:id="188"/>
      <w:bookmarkEnd w:id="189"/>
      <w:bookmarkEnd w:id="190"/>
      <w:bookmarkEnd w:id="191"/>
    </w:p>
    <w:tbl>
      <w:tblPr>
        <w:tblStyle w:val="SDGTableDefault"/>
        <w:tblpPr w:leftFromText="180" w:rightFromText="180" w:vertAnchor="page" w:horzAnchor="margin" w:tblpX="-426" w:tblpY="1747"/>
        <w:tblW w:w="14222" w:type="dxa"/>
        <w:tblLook w:val="04A0" w:firstRow="1" w:lastRow="0" w:firstColumn="1" w:lastColumn="0" w:noHBand="0" w:noVBand="1"/>
      </w:tblPr>
      <w:tblGrid>
        <w:gridCol w:w="2844"/>
        <w:gridCol w:w="2844"/>
        <w:gridCol w:w="2844"/>
        <w:gridCol w:w="2845"/>
        <w:gridCol w:w="2845"/>
      </w:tblGrid>
      <w:tr w:rsidR="00351F99" w:rsidTr="00351F9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44" w:type="dxa"/>
          </w:tcPr>
          <w:p w:rsidR="00C366CC" w:rsidRPr="00A2772C" w:rsidRDefault="00BE7ED1" w:rsidP="00C366CC">
            <w:pPr>
              <w:pStyle w:val="Heading3"/>
              <w:numPr>
                <w:ilvl w:val="0"/>
                <w:numId w:val="0"/>
              </w:numPr>
              <w:outlineLvl w:val="2"/>
              <w:rPr>
                <w:sz w:val="24"/>
              </w:rPr>
            </w:pPr>
            <w:bookmarkStart w:id="192" w:name="_Toc502674276"/>
            <w:bookmarkStart w:id="193" w:name="_Toc502734622"/>
            <w:bookmarkStart w:id="194" w:name="_Toc502744335"/>
            <w:bookmarkStart w:id="195" w:name="_Toc504469796"/>
            <w:bookmarkStart w:id="196" w:name="_Toc504490236"/>
            <w:bookmarkStart w:id="197" w:name="_Toc504563082"/>
            <w:bookmarkStart w:id="198" w:name="_Toc505073281"/>
            <w:bookmarkStart w:id="199" w:name="_Toc505073776"/>
            <w:bookmarkStart w:id="200" w:name="_Hlk504488891"/>
            <w:r w:rsidRPr="00A2772C">
              <w:rPr>
                <w:b/>
                <w:sz w:val="24"/>
              </w:rPr>
              <w:t>Action</w:t>
            </w:r>
          </w:p>
        </w:tc>
        <w:tc>
          <w:tcPr>
            <w:tcW w:w="2844"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Rationale</w:t>
            </w:r>
          </w:p>
        </w:tc>
        <w:tc>
          <w:tcPr>
            <w:tcW w:w="2844"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Objectives</w:t>
            </w:r>
          </w:p>
        </w:tc>
        <w:tc>
          <w:tcPr>
            <w:tcW w:w="2845"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Outputs</w:t>
            </w:r>
          </w:p>
        </w:tc>
        <w:tc>
          <w:tcPr>
            <w:tcW w:w="2845"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Outcomes</w:t>
            </w:r>
          </w:p>
        </w:tc>
      </w:tr>
      <w:tr w:rsidR="00351F99" w:rsidTr="00351F99">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2844" w:type="dxa"/>
          </w:tcPr>
          <w:p w:rsidR="00C366CC" w:rsidRPr="00A2772C" w:rsidRDefault="00BE7ED1" w:rsidP="00C366CC">
            <w:pPr>
              <w:pStyle w:val="Heading3"/>
              <w:numPr>
                <w:ilvl w:val="0"/>
                <w:numId w:val="0"/>
              </w:numPr>
              <w:outlineLvl w:val="2"/>
            </w:pPr>
            <w:r w:rsidRPr="00A2772C">
              <w:t>Deliver North West National Adoption Programme Pilot</w:t>
            </w:r>
          </w:p>
        </w:tc>
        <w:tc>
          <w:tcPr>
            <w:tcW w:w="2844"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Recommended in the </w:t>
            </w:r>
            <w:r w:rsidRPr="00A2772C">
              <w:rPr>
                <w:i/>
              </w:rPr>
              <w:t>Made Smarter Review 2017</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 well positioned to play a leading role</w:t>
            </w:r>
          </w:p>
        </w:tc>
        <w:tc>
          <w:tcPr>
            <w:tcW w:w="2844"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Accelerate development/diffusion of </w:t>
            </w:r>
            <w:r w:rsidRPr="00A2772C">
              <w:t xml:space="preserve">Industrial </w:t>
            </w:r>
            <w:r>
              <w:t xml:space="preserve">Digital </w:t>
            </w:r>
            <w:r w:rsidRPr="00A2772C">
              <w:t xml:space="preserve">Technologies </w:t>
            </w:r>
            <w:r w:rsidRPr="00A2772C">
              <w:t>through focussed support to SMEs</w:t>
            </w:r>
          </w:p>
        </w:tc>
        <w:tc>
          <w:tcPr>
            <w:tcW w:w="2845"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Three-year pilot project delivered as per </w:t>
            </w:r>
            <w:r w:rsidRPr="00A2772C">
              <w:rPr>
                <w:i/>
              </w:rPr>
              <w:t xml:space="preserve">Made Smarter Review </w:t>
            </w:r>
            <w:r w:rsidRPr="00A2772C">
              <w:t>recommendation</w:t>
            </w:r>
          </w:p>
        </w:tc>
        <w:tc>
          <w:tcPr>
            <w:tcW w:w="2845"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Leadership maintained and resilience improved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Collaborations with other North West LEPs/innovation assets developed and strengthened</w:t>
            </w:r>
          </w:p>
        </w:tc>
      </w:tr>
      <w:tr w:rsidR="00351F99" w:rsidTr="00351F99">
        <w:trPr>
          <w:trHeight w:val="1652"/>
        </w:trPr>
        <w:tc>
          <w:tcPr>
            <w:cnfStyle w:val="001000000000" w:firstRow="0" w:lastRow="0" w:firstColumn="1" w:lastColumn="0" w:oddVBand="0" w:evenVBand="0" w:oddHBand="0" w:evenHBand="0" w:firstRowFirstColumn="0" w:firstRowLastColumn="0" w:lastRowFirstColumn="0" w:lastRowLastColumn="0"/>
            <w:tcW w:w="2844" w:type="dxa"/>
          </w:tcPr>
          <w:p w:rsidR="00C366CC" w:rsidRPr="00A2772C" w:rsidRDefault="00BE7ED1" w:rsidP="00C366CC">
            <w:pPr>
              <w:pStyle w:val="Heading3"/>
              <w:numPr>
                <w:ilvl w:val="0"/>
                <w:numId w:val="0"/>
              </w:numPr>
              <w:outlineLvl w:val="2"/>
            </w:pPr>
            <w:r w:rsidRPr="00A2772C">
              <w:t>Connect with Centres of Excellence/Sectoral c</w:t>
            </w:r>
            <w:r w:rsidRPr="00A2772C">
              <w:t>lusters outside Lancashire (both domestically and internationally)</w:t>
            </w:r>
          </w:p>
        </w:tc>
        <w:tc>
          <w:tcPr>
            <w:tcW w:w="2844"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has recognised sector strengths that need to be maintained and developed further</w:t>
            </w:r>
          </w:p>
          <w:p w:rsidR="00C366CC" w:rsidRPr="00A2772C" w:rsidRDefault="00BE7ED1" w:rsidP="00C366CC">
            <w:pPr>
              <w:pStyle w:val="NormalNumbered"/>
              <w:cnfStyle w:val="000000000000" w:firstRow="0" w:lastRow="0" w:firstColumn="0" w:lastColumn="0" w:oddVBand="0" w:evenVBand="0" w:oddHBand="0" w:evenHBand="0" w:firstRowFirstColumn="0" w:firstRowLastColumn="0" w:lastRowFirstColumn="0" w:lastRowLastColumn="0"/>
            </w:pPr>
          </w:p>
        </w:tc>
        <w:tc>
          <w:tcPr>
            <w:tcW w:w="2844"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Identify relevant Centres of Excellence in both the UK and abroad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Develop strategic partnerships</w:t>
            </w:r>
            <w:r w:rsidRPr="00A2772C">
              <w:t xml:space="preserve"> with these to develop new opportunities in new markets</w:t>
            </w:r>
          </w:p>
        </w:tc>
        <w:tc>
          <w:tcPr>
            <w:tcW w:w="2845"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Directory of Centres of Excellence/Clusters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Connections with these centres/clusters made</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New opportunities for collaboration identified</w:t>
            </w:r>
          </w:p>
          <w:p w:rsidR="00C366CC" w:rsidRPr="00A2772C" w:rsidRDefault="00BE7ED1" w:rsidP="00C366CC">
            <w:pPr>
              <w:pStyle w:val="NormalNumbered"/>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rPr>
            </w:pPr>
          </w:p>
        </w:tc>
        <w:tc>
          <w:tcPr>
            <w:tcW w:w="2845"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Connections either created or deepened, new markets expanded </w:t>
            </w:r>
            <w:r w:rsidRPr="00A2772C">
              <w:t>into</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Commercial benefits of new opportunities are exploited</w:t>
            </w:r>
          </w:p>
        </w:tc>
      </w:tr>
      <w:tr w:rsidR="00351F99" w:rsidTr="00351F99">
        <w:trPr>
          <w:cnfStyle w:val="000000100000" w:firstRow="0" w:lastRow="0" w:firstColumn="0" w:lastColumn="0" w:oddVBand="0" w:evenVBand="0" w:oddHBand="1"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2844" w:type="dxa"/>
          </w:tcPr>
          <w:p w:rsidR="00C366CC" w:rsidRPr="00A2772C" w:rsidRDefault="00BE7ED1" w:rsidP="00C366CC">
            <w:pPr>
              <w:pStyle w:val="Heading3"/>
              <w:numPr>
                <w:ilvl w:val="0"/>
                <w:numId w:val="0"/>
              </w:numPr>
              <w:outlineLvl w:val="2"/>
            </w:pPr>
            <w:r w:rsidRPr="00A2772C">
              <w:t>Work in collaboration with large employers in the County such as BAE, Westinghouse, HEIs, the NHS etc to strengthen innovation capabilities of their supply chains in Lancashire</w:t>
            </w:r>
          </w:p>
        </w:tc>
        <w:tc>
          <w:tcPr>
            <w:tcW w:w="2844"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Significant expert</w:t>
            </w:r>
            <w:r w:rsidRPr="00A2772C">
              <w:t>ise within Lancashire businesses/public sector</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Scope </w:t>
            </w:r>
            <w:r>
              <w:rPr>
                <w:noProof/>
              </w:rPr>
              <w:t>of</w:t>
            </w:r>
            <w:r w:rsidRPr="00A2772C">
              <w:t xml:space="preserve"> supply chain capability and capacity to be developed</w:t>
            </w:r>
          </w:p>
        </w:tc>
        <w:tc>
          <w:tcPr>
            <w:tcW w:w="2844"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Share best practice in innovation development and adoption</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rPr>
                <w:b/>
              </w:rPr>
            </w:pPr>
            <w:r w:rsidRPr="00A2772C">
              <w:t>Develop capacity and capability in supply chains</w:t>
            </w:r>
          </w:p>
        </w:tc>
        <w:tc>
          <w:tcPr>
            <w:tcW w:w="2845"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Large employers deliver capacity-buildi</w:t>
            </w:r>
            <w:r w:rsidRPr="00A2772C">
              <w:t>ng initiatives to their supply chains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Improved innovation in County’s supply chains</w:t>
            </w:r>
          </w:p>
        </w:tc>
        <w:tc>
          <w:tcPr>
            <w:tcW w:w="2845"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Supply chains will have greater ability to innovate</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Increase in collaborative innovation initiatives between Tier 1 companies and their supply chains</w:t>
            </w:r>
          </w:p>
        </w:tc>
      </w:tr>
      <w:tr w:rsidR="00351F99" w:rsidTr="00351F99">
        <w:trPr>
          <w:trHeight w:val="1771"/>
        </w:trPr>
        <w:tc>
          <w:tcPr>
            <w:cnfStyle w:val="001000000000" w:firstRow="0" w:lastRow="0" w:firstColumn="1" w:lastColumn="0" w:oddVBand="0" w:evenVBand="0" w:oddHBand="0" w:evenHBand="0" w:firstRowFirstColumn="0" w:firstRowLastColumn="0" w:lastRowFirstColumn="0" w:lastRowLastColumn="0"/>
            <w:tcW w:w="2844" w:type="dxa"/>
          </w:tcPr>
          <w:p w:rsidR="00C366CC" w:rsidRPr="00A2772C" w:rsidRDefault="00BE7ED1" w:rsidP="00C366CC">
            <w:pPr>
              <w:pStyle w:val="Heading3"/>
              <w:numPr>
                <w:ilvl w:val="0"/>
                <w:numId w:val="0"/>
              </w:numPr>
              <w:outlineLvl w:val="2"/>
            </w:pPr>
            <w:r w:rsidRPr="00A2772C">
              <w:t>Develop</w:t>
            </w:r>
            <w:r>
              <w:t xml:space="preserve"> a</w:t>
            </w:r>
            <w:r w:rsidRPr="00A2772C">
              <w:t xml:space="preserve"> </w:t>
            </w:r>
            <w:r w:rsidRPr="00C366CC">
              <w:rPr>
                <w:noProof/>
              </w:rPr>
              <w:t>network</w:t>
            </w:r>
            <w:r w:rsidRPr="00A2772C">
              <w:t xml:space="preserve"> of Lancashire ‘Innovation Ambassadors’ to work with local SMEs in developing innovation capabilities, and in promoting Lancashire’s innovation offer </w:t>
            </w:r>
          </w:p>
        </w:tc>
        <w:tc>
          <w:tcPr>
            <w:tcW w:w="2844"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Innovation expertise exists in Lancashire and should be utilised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Existing strengths need to be developed </w:t>
            </w:r>
            <w:r w:rsidRPr="00A2772C">
              <w:t xml:space="preserve">continually </w:t>
            </w:r>
          </w:p>
        </w:tc>
        <w:tc>
          <w:tcPr>
            <w:tcW w:w="2844"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Existing strengths to be publicised more broadly, and lessons diffused and embedded with SMEs </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Existing innovation strengths publicised more widely via a coherent and consistent innovation narrative</w:t>
            </w:r>
          </w:p>
        </w:tc>
        <w:tc>
          <w:tcPr>
            <w:tcW w:w="2845"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Pr>
                <w:noProof/>
              </w:rPr>
              <w:t>A n</w:t>
            </w:r>
            <w:r w:rsidRPr="00C366CC">
              <w:rPr>
                <w:noProof/>
              </w:rPr>
              <w:t>etwork</w:t>
            </w:r>
            <w:r w:rsidRPr="00A2772C">
              <w:t xml:space="preserve"> of ambassadors appointed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Innovatio</w:t>
            </w:r>
            <w:r w:rsidRPr="00A2772C">
              <w:t>n narrative agreed and disseminated</w:t>
            </w:r>
          </w:p>
        </w:tc>
        <w:tc>
          <w:tcPr>
            <w:tcW w:w="2845"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Lancashire’s innovation offer is understood more widely</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is well-positioned to bid for funding and new Centres of Excellence/Catapults</w:t>
            </w:r>
          </w:p>
        </w:tc>
      </w:tr>
      <w:tr w:rsidR="00351F99" w:rsidTr="00351F99">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844" w:type="dxa"/>
          </w:tcPr>
          <w:p w:rsidR="00C366CC" w:rsidRPr="00A2772C" w:rsidRDefault="00BE7ED1" w:rsidP="00C366CC">
            <w:pPr>
              <w:pStyle w:val="Heading3"/>
              <w:numPr>
                <w:ilvl w:val="0"/>
                <w:numId w:val="0"/>
              </w:numPr>
              <w:outlineLvl w:val="2"/>
            </w:pPr>
            <w:r w:rsidRPr="00A2772C">
              <w:t>Develop Lancashire Technology and Market Foresight Observatory</w:t>
            </w:r>
          </w:p>
        </w:tc>
        <w:tc>
          <w:tcPr>
            <w:tcW w:w="2844"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Lancashire </w:t>
            </w:r>
            <w:r w:rsidRPr="00A2772C">
              <w:t>should be driving and shaping market and tech change</w:t>
            </w:r>
          </w:p>
        </w:tc>
        <w:tc>
          <w:tcPr>
            <w:tcW w:w="2844"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 stakeholders are informed of market trajectory and tech changes</w:t>
            </w:r>
          </w:p>
        </w:tc>
        <w:tc>
          <w:tcPr>
            <w:tcW w:w="2845"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Reports and insights easily accessible and available for Lancashire stakeholders</w:t>
            </w:r>
          </w:p>
        </w:tc>
        <w:tc>
          <w:tcPr>
            <w:tcW w:w="2845"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 is on the front foot in driving, sha</w:t>
            </w:r>
            <w:r w:rsidRPr="00A2772C">
              <w:t>ping, and implementing change</w:t>
            </w:r>
          </w:p>
        </w:tc>
      </w:tr>
    </w:tbl>
    <w:p w:rsidR="001B083F" w:rsidRPr="00A2772C" w:rsidRDefault="00BE7ED1" w:rsidP="00C366CC">
      <w:pPr>
        <w:pStyle w:val="Heading2"/>
        <w:numPr>
          <w:ilvl w:val="0"/>
          <w:numId w:val="0"/>
        </w:numPr>
        <w:ind w:hanging="426"/>
      </w:pPr>
      <w:bookmarkStart w:id="201" w:name="_Toc508803097"/>
      <w:r w:rsidRPr="00A2772C">
        <w:lastRenderedPageBreak/>
        <w:t>Strategic Aim 2</w:t>
      </w:r>
      <w:r w:rsidRPr="00A2772C">
        <w:t xml:space="preserve"> –</w:t>
      </w:r>
      <w:r w:rsidRPr="00A2772C">
        <w:t xml:space="preserve"> New </w:t>
      </w:r>
      <w:r w:rsidRPr="00A2772C">
        <w:t>Routeways to Excellence</w:t>
      </w:r>
      <w:bookmarkEnd w:id="192"/>
      <w:bookmarkEnd w:id="193"/>
      <w:bookmarkEnd w:id="194"/>
      <w:bookmarkEnd w:id="195"/>
      <w:bookmarkEnd w:id="196"/>
      <w:bookmarkEnd w:id="197"/>
      <w:bookmarkEnd w:id="198"/>
      <w:bookmarkEnd w:id="199"/>
      <w:bookmarkEnd w:id="201"/>
    </w:p>
    <w:tbl>
      <w:tblPr>
        <w:tblStyle w:val="SDGTableDefault"/>
        <w:tblpPr w:leftFromText="180" w:rightFromText="180" w:vertAnchor="page" w:horzAnchor="margin" w:tblpX="-426" w:tblpY="1927"/>
        <w:tblW w:w="14175" w:type="dxa"/>
        <w:tblLook w:val="04A0" w:firstRow="1" w:lastRow="0" w:firstColumn="1" w:lastColumn="0" w:noHBand="0" w:noVBand="1"/>
      </w:tblPr>
      <w:tblGrid>
        <w:gridCol w:w="2853"/>
        <w:gridCol w:w="2676"/>
        <w:gridCol w:w="2693"/>
        <w:gridCol w:w="2693"/>
        <w:gridCol w:w="3260"/>
      </w:tblGrid>
      <w:tr w:rsidR="00351F99" w:rsidTr="00351F99">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53" w:type="dxa"/>
          </w:tcPr>
          <w:bookmarkEnd w:id="200"/>
          <w:p w:rsidR="00C366CC" w:rsidRPr="00A2772C" w:rsidRDefault="00BE7ED1" w:rsidP="00C366CC">
            <w:pPr>
              <w:pStyle w:val="Heading3"/>
              <w:numPr>
                <w:ilvl w:val="0"/>
                <w:numId w:val="0"/>
              </w:numPr>
              <w:outlineLvl w:val="2"/>
              <w:rPr>
                <w:sz w:val="24"/>
              </w:rPr>
            </w:pPr>
            <w:r w:rsidRPr="00A2772C">
              <w:rPr>
                <w:b/>
                <w:sz w:val="24"/>
              </w:rPr>
              <w:t>Action</w:t>
            </w:r>
          </w:p>
        </w:tc>
        <w:tc>
          <w:tcPr>
            <w:tcW w:w="2676"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Rationale</w:t>
            </w:r>
          </w:p>
        </w:tc>
        <w:tc>
          <w:tcPr>
            <w:tcW w:w="2693"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Objectives</w:t>
            </w:r>
          </w:p>
        </w:tc>
        <w:tc>
          <w:tcPr>
            <w:tcW w:w="2693"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Outputs</w:t>
            </w:r>
          </w:p>
        </w:tc>
        <w:tc>
          <w:tcPr>
            <w:tcW w:w="3260"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Outcomes</w:t>
            </w:r>
          </w:p>
        </w:tc>
      </w:tr>
      <w:tr w:rsidR="00351F99" w:rsidTr="00351F99">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2853" w:type="dxa"/>
          </w:tcPr>
          <w:p w:rsidR="00C366CC" w:rsidRPr="00A2772C" w:rsidRDefault="00BE7ED1" w:rsidP="00C366CC">
            <w:pPr>
              <w:pStyle w:val="Heading3"/>
              <w:numPr>
                <w:ilvl w:val="0"/>
                <w:numId w:val="0"/>
              </w:numPr>
              <w:outlineLvl w:val="2"/>
            </w:pPr>
            <w:r w:rsidRPr="00A2772C">
              <w:t>Develop supply chain crossover networks, working to Smart Specialisation model disciplines</w:t>
            </w:r>
          </w:p>
        </w:tc>
        <w:tc>
          <w:tcPr>
            <w:tcW w:w="2676"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Vital for Lancashire to create new USPs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Connectedness between existing strengths provides opportunities for diversification</w:t>
            </w:r>
          </w:p>
        </w:tc>
        <w:tc>
          <w:tcPr>
            <w:tcW w:w="2693"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Crossovers between supply chains to be identified and developed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New technologies and innovations developed through crossover opportunities</w:t>
            </w:r>
          </w:p>
        </w:tc>
        <w:tc>
          <w:tcPr>
            <w:tcW w:w="2693"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New innovation collaborations dev</w:t>
            </w:r>
            <w:r w:rsidRPr="00A2772C">
              <w:t>eloped across sectors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New technologies developed and adopted across sectors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New sector potential identified and championed</w:t>
            </w:r>
          </w:p>
          <w:p w:rsidR="00C366CC" w:rsidRPr="00A2772C" w:rsidRDefault="00BE7ED1" w:rsidP="00C366C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6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Lancashire’s sectoral strengths combine to develop new USPs for the County (e.g. ultra-reliable, technologies)</w:t>
            </w:r>
          </w:p>
        </w:tc>
      </w:tr>
      <w:tr w:rsidR="00351F99" w:rsidTr="00351F99">
        <w:trPr>
          <w:trHeight w:val="1465"/>
        </w:trPr>
        <w:tc>
          <w:tcPr>
            <w:cnfStyle w:val="001000000000" w:firstRow="0" w:lastRow="0" w:firstColumn="1" w:lastColumn="0" w:oddVBand="0" w:evenVBand="0" w:oddHBand="0" w:evenHBand="0" w:firstRowFirstColumn="0" w:firstRowLastColumn="0" w:lastRowFirstColumn="0" w:lastRowLastColumn="0"/>
            <w:tcW w:w="2853" w:type="dxa"/>
          </w:tcPr>
          <w:p w:rsidR="00C366CC" w:rsidRPr="00A2772C" w:rsidRDefault="00BE7ED1" w:rsidP="00C366CC">
            <w:pPr>
              <w:pStyle w:val="Heading3"/>
              <w:numPr>
                <w:ilvl w:val="0"/>
                <w:numId w:val="0"/>
              </w:numPr>
              <w:ind w:firstLine="176"/>
              <w:outlineLvl w:val="2"/>
            </w:pPr>
            <w:r w:rsidRPr="00A2772C">
              <w:t xml:space="preserve">Encourage </w:t>
            </w:r>
            <w:r w:rsidRPr="0074708B">
              <w:rPr>
                <w:noProof/>
              </w:rPr>
              <w:t>increase</w:t>
            </w:r>
            <w:r w:rsidRPr="00A2772C">
              <w:t xml:space="preserve"> i</w:t>
            </w:r>
            <w:r w:rsidRPr="00A2772C">
              <w:t>n Knowledge Transfer Partnerships (KTPs) and commercialisation opportunities that flow from these</w:t>
            </w:r>
          </w:p>
        </w:tc>
        <w:tc>
          <w:tcPr>
            <w:tcW w:w="2676"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Examples of successful KTPs exist across HEIs/businesses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Successful in developing and commercialising innovation</w:t>
            </w:r>
          </w:p>
        </w:tc>
        <w:tc>
          <w:tcPr>
            <w:tcW w:w="2693"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rPr>
                <w:b/>
              </w:rPr>
            </w:pPr>
            <w:r w:rsidRPr="00A2772C">
              <w:t xml:space="preserve">Double the number of KTPs in Lancashire </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rPr>
                <w:b/>
              </w:rPr>
            </w:pPr>
            <w:r w:rsidRPr="00A2772C">
              <w:t>Esta</w:t>
            </w:r>
            <w:r w:rsidRPr="00A2772C">
              <w:t>blish KTPs in emerging sectors</w:t>
            </w:r>
          </w:p>
        </w:tc>
        <w:tc>
          <w:tcPr>
            <w:tcW w:w="2693"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C366CC">
              <w:rPr>
                <w:noProof/>
              </w:rPr>
              <w:t>Number</w:t>
            </w:r>
            <w:r w:rsidRPr="00A2772C">
              <w:t xml:space="preserve"> of KTPs in Lancashire is doubled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KTPs support existing strengths and are developed in emerging sectors</w:t>
            </w:r>
          </w:p>
        </w:tc>
        <w:tc>
          <w:tcPr>
            <w:tcW w:w="326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Closer connection between HEIs and broader number and range of businesses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KTPs successfully commercialise ideas in </w:t>
            </w:r>
            <w:r w:rsidRPr="00A2772C">
              <w:t>new sector strengths</w:t>
            </w:r>
          </w:p>
        </w:tc>
      </w:tr>
      <w:tr w:rsidR="00351F99" w:rsidTr="00351F99">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2853" w:type="dxa"/>
          </w:tcPr>
          <w:p w:rsidR="00C366CC" w:rsidRPr="00A2772C" w:rsidRDefault="00BE7ED1" w:rsidP="00C366CC">
            <w:pPr>
              <w:pStyle w:val="Heading3"/>
              <w:numPr>
                <w:ilvl w:val="0"/>
                <w:numId w:val="0"/>
              </w:numPr>
              <w:outlineLvl w:val="2"/>
            </w:pPr>
            <w:r w:rsidRPr="00A2772C">
              <w:t xml:space="preserve">Building on existing Test Beds (e.g. Lancashire and Cumbria Innovation Alliance Health and Care Test Bed), and develop these in new sectors e.g. </w:t>
            </w:r>
            <w:r>
              <w:t xml:space="preserve">Digital </w:t>
            </w:r>
          </w:p>
        </w:tc>
        <w:tc>
          <w:tcPr>
            <w:tcW w:w="2676"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Existing Test Bed examples within Lancashire</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Foundations of other Test Beds exist within Lancashire (e.g. </w:t>
            </w:r>
            <w:r>
              <w:t xml:space="preserve">Digital </w:t>
            </w:r>
            <w:r w:rsidRPr="00A2772C">
              <w:t>cluster</w:t>
            </w:r>
            <w:r w:rsidRPr="00A2772C">
              <w:t xml:space="preserve"> in Lancaster)</w:t>
            </w:r>
          </w:p>
        </w:tc>
        <w:tc>
          <w:tcPr>
            <w:tcW w:w="2693"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Invest in and develop clusters to create Test Beds in emerging sectors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Innovations developed in Test Beds to be commercialised </w:t>
            </w:r>
          </w:p>
        </w:tc>
        <w:tc>
          <w:tcPr>
            <w:tcW w:w="2693"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Existing Health and Care Test Bed is </w:t>
            </w:r>
            <w:r w:rsidRPr="00A2772C">
              <w:t>supported and developed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New Test Beds in areas such as Digital are developed</w:t>
            </w:r>
          </w:p>
        </w:tc>
        <w:tc>
          <w:tcPr>
            <w:tcW w:w="326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 becomes the ‘go to’ place for innovation testing</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Ideas developed and tested within Lancashire are adopted and commercialised</w:t>
            </w:r>
          </w:p>
        </w:tc>
      </w:tr>
      <w:tr w:rsidR="00351F99" w:rsidTr="00351F99">
        <w:trPr>
          <w:trHeight w:val="1921"/>
        </w:trPr>
        <w:tc>
          <w:tcPr>
            <w:cnfStyle w:val="001000000000" w:firstRow="0" w:lastRow="0" w:firstColumn="1" w:lastColumn="0" w:oddVBand="0" w:evenVBand="0" w:oddHBand="0" w:evenHBand="0" w:firstRowFirstColumn="0" w:firstRowLastColumn="0" w:lastRowFirstColumn="0" w:lastRowLastColumn="0"/>
            <w:tcW w:w="2853" w:type="dxa"/>
          </w:tcPr>
          <w:p w:rsidR="00C366CC" w:rsidRPr="00A2772C" w:rsidRDefault="00BE7ED1" w:rsidP="00C366CC">
            <w:pPr>
              <w:pStyle w:val="Heading3"/>
              <w:numPr>
                <w:ilvl w:val="0"/>
                <w:numId w:val="0"/>
              </w:numPr>
              <w:outlineLvl w:val="2"/>
            </w:pPr>
            <w:r w:rsidRPr="00A2772C">
              <w:t xml:space="preserve">Rotate monthly initiatives such as </w:t>
            </w:r>
            <w:r w:rsidRPr="00A2772C">
              <w:t>“Failure Labs” and hackathons around existing key innovation facilities, with a different sector focus each month</w:t>
            </w:r>
          </w:p>
        </w:tc>
        <w:tc>
          <w:tcPr>
            <w:tcW w:w="2676"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Investment in a range of innovation facilities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Utilises these in developing innovation across sectors</w:t>
            </w:r>
          </w:p>
        </w:tc>
        <w:tc>
          <w:tcPr>
            <w:tcW w:w="2693"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Allow businesses to utilise existing fac</w:t>
            </w:r>
            <w:r w:rsidRPr="00A2772C">
              <w:t xml:space="preserve">ilities for testing and developing </w:t>
            </w:r>
            <w:r w:rsidRPr="00A2772C">
              <w:t>innovative ideas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Tackle existing and future problems through dedicated hackathons across sectors</w:t>
            </w:r>
          </w:p>
        </w:tc>
        <w:tc>
          <w:tcPr>
            <w:tcW w:w="2693"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“Failure Lab” space developed to enable businesses to test and develop new ideas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Monthly hackathon held, at a different loca</w:t>
            </w:r>
            <w:r w:rsidRPr="00A2772C">
              <w:t>tion and with a different sector focus each month</w:t>
            </w:r>
          </w:p>
        </w:tc>
        <w:tc>
          <w:tcPr>
            <w:tcW w:w="326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Businesses are supported and encouraged to test new ideas in Lancashire</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seen as being at the forefront of developing innovative solutions to global problems</w:t>
            </w:r>
          </w:p>
        </w:tc>
      </w:tr>
    </w:tbl>
    <w:p w:rsidR="00C366CC" w:rsidRDefault="00BE7ED1" w:rsidP="00C366CC">
      <w:pPr>
        <w:pStyle w:val="Source"/>
      </w:pPr>
    </w:p>
    <w:p w:rsidR="00C366CC" w:rsidRDefault="00BE7ED1" w:rsidP="00C366CC">
      <w:pPr>
        <w:pStyle w:val="Source"/>
        <w:ind w:hanging="426"/>
      </w:pPr>
    </w:p>
    <w:p w:rsidR="001B083F" w:rsidRDefault="00BE7ED1" w:rsidP="00C366CC">
      <w:pPr>
        <w:pStyle w:val="Heading2"/>
        <w:ind w:hanging="426"/>
      </w:pPr>
      <w:bookmarkStart w:id="202" w:name="_Toc502674277"/>
      <w:bookmarkStart w:id="203" w:name="_Toc502734623"/>
      <w:bookmarkStart w:id="204" w:name="_Toc502744336"/>
      <w:bookmarkStart w:id="205" w:name="_Toc504469797"/>
      <w:bookmarkStart w:id="206" w:name="_Toc504490237"/>
      <w:bookmarkStart w:id="207" w:name="_Toc504563083"/>
      <w:bookmarkStart w:id="208" w:name="_Toc505073282"/>
      <w:bookmarkStart w:id="209" w:name="_Toc505073777"/>
      <w:bookmarkStart w:id="210" w:name="_Toc508803098"/>
      <w:r w:rsidRPr="00A2772C">
        <w:lastRenderedPageBreak/>
        <w:t>Strategic Aim 3</w:t>
      </w:r>
      <w:r w:rsidRPr="00A2772C">
        <w:t xml:space="preserve"> –</w:t>
      </w:r>
      <w:r w:rsidRPr="00A2772C">
        <w:t xml:space="preserve"> </w:t>
      </w:r>
      <w:r w:rsidRPr="00A2772C">
        <w:t xml:space="preserve">Broadening the </w:t>
      </w:r>
      <w:r w:rsidRPr="00A2772C">
        <w:t>Innovation Base</w:t>
      </w:r>
      <w:bookmarkEnd w:id="202"/>
      <w:bookmarkEnd w:id="203"/>
      <w:bookmarkEnd w:id="204"/>
      <w:bookmarkEnd w:id="205"/>
      <w:bookmarkEnd w:id="206"/>
      <w:bookmarkEnd w:id="207"/>
      <w:bookmarkEnd w:id="208"/>
      <w:bookmarkEnd w:id="209"/>
      <w:bookmarkEnd w:id="210"/>
    </w:p>
    <w:tbl>
      <w:tblPr>
        <w:tblStyle w:val="SDGTableDefault"/>
        <w:tblpPr w:leftFromText="180" w:rightFromText="180" w:vertAnchor="page" w:horzAnchor="margin" w:tblpX="-426" w:tblpY="1819"/>
        <w:tblW w:w="14175" w:type="dxa"/>
        <w:tblLook w:val="04A0" w:firstRow="1" w:lastRow="0" w:firstColumn="1" w:lastColumn="0" w:noHBand="0" w:noVBand="1"/>
      </w:tblPr>
      <w:tblGrid>
        <w:gridCol w:w="2739"/>
        <w:gridCol w:w="2739"/>
        <w:gridCol w:w="2739"/>
        <w:gridCol w:w="2740"/>
        <w:gridCol w:w="3218"/>
      </w:tblGrid>
      <w:tr w:rsidR="00351F99" w:rsidTr="0035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C366CC" w:rsidRPr="00A2772C" w:rsidRDefault="00BE7ED1" w:rsidP="00C366CC">
            <w:pPr>
              <w:pStyle w:val="Heading3"/>
              <w:numPr>
                <w:ilvl w:val="0"/>
                <w:numId w:val="0"/>
              </w:numPr>
              <w:outlineLvl w:val="2"/>
              <w:rPr>
                <w:sz w:val="24"/>
              </w:rPr>
            </w:pPr>
            <w:r w:rsidRPr="00A2772C">
              <w:rPr>
                <w:b/>
                <w:sz w:val="24"/>
              </w:rPr>
              <w:t>Action</w:t>
            </w:r>
          </w:p>
        </w:tc>
        <w:tc>
          <w:tcPr>
            <w:tcW w:w="2739"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Rationale</w:t>
            </w:r>
          </w:p>
        </w:tc>
        <w:tc>
          <w:tcPr>
            <w:tcW w:w="2739"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Objectives</w:t>
            </w:r>
          </w:p>
        </w:tc>
        <w:tc>
          <w:tcPr>
            <w:tcW w:w="2740"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Outputs</w:t>
            </w:r>
          </w:p>
        </w:tc>
        <w:tc>
          <w:tcPr>
            <w:tcW w:w="3218"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Outcomes</w:t>
            </w: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C366CC" w:rsidRPr="00A2772C" w:rsidRDefault="00BE7ED1" w:rsidP="00C366CC">
            <w:pPr>
              <w:pStyle w:val="Heading3"/>
              <w:numPr>
                <w:ilvl w:val="0"/>
                <w:numId w:val="0"/>
              </w:numPr>
              <w:outlineLvl w:val="2"/>
            </w:pPr>
            <w:r w:rsidRPr="00A2772C">
              <w:t>Enhance existing or develop a new leadership programme focussing on innovation development, adoption, and diffusion</w:t>
            </w:r>
          </w:p>
        </w:tc>
        <w:tc>
          <w:tcPr>
            <w:tcW w:w="273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Innovation skills and leadership are critical in delivering the innovation </w:t>
            </w:r>
            <w:r w:rsidRPr="00A2772C">
              <w:t>agenda</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Successful leadership programmes have been delivered in Lancashire however they haven’t focussed specifically on innovation</w:t>
            </w:r>
          </w:p>
        </w:tc>
        <w:tc>
          <w:tcPr>
            <w:tcW w:w="273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rPr>
                <w:b/>
              </w:rPr>
            </w:pPr>
            <w:r w:rsidRPr="00A2772C">
              <w:t>Develop leadership programme specific to innovation, eithe</w:t>
            </w:r>
            <w:r>
              <w:t>r through enhancing</w:t>
            </w:r>
            <w:r w:rsidRPr="00A2772C">
              <w:t xml:space="preserve"> existing programme or developing </w:t>
            </w:r>
            <w:r>
              <w:t xml:space="preserve">a </w:t>
            </w:r>
            <w:r w:rsidRPr="00A2772C">
              <w:t>new one</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Enab</w:t>
            </w:r>
            <w:r w:rsidRPr="00A2772C">
              <w:t xml:space="preserve">le/incentivise innovators from SMEs from </w:t>
            </w:r>
            <w:r>
              <w:t>a range of sectors to access/</w:t>
            </w:r>
            <w:r w:rsidRPr="00A2772C">
              <w:t xml:space="preserve"> complete the programme</w:t>
            </w:r>
          </w:p>
        </w:tc>
        <w:tc>
          <w:tcPr>
            <w:tcW w:w="274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Leadership Programme to be developed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SMEs from across Lancashire complete the programme </w:t>
            </w:r>
          </w:p>
        </w:tc>
        <w:tc>
          <w:tcPr>
            <w:tcW w:w="3218"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Innovation leadership and management skills are strengthened </w:t>
            </w:r>
            <w:r w:rsidRPr="00A2772C">
              <w:t>across the business base</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in SMEs is more prominent, the ‘long tail’ of less innovative companies is reduced</w:t>
            </w:r>
          </w:p>
        </w:tc>
      </w:tr>
      <w:tr w:rsidR="00351F99" w:rsidTr="00351F99">
        <w:tc>
          <w:tcPr>
            <w:cnfStyle w:val="001000000000" w:firstRow="0" w:lastRow="0" w:firstColumn="1" w:lastColumn="0" w:oddVBand="0" w:evenVBand="0" w:oddHBand="0" w:evenHBand="0" w:firstRowFirstColumn="0" w:firstRowLastColumn="0" w:lastRowFirstColumn="0" w:lastRowLastColumn="0"/>
            <w:tcW w:w="2739" w:type="dxa"/>
          </w:tcPr>
          <w:p w:rsidR="00C366CC" w:rsidRPr="00A2772C" w:rsidRDefault="00BE7ED1" w:rsidP="00C366CC">
            <w:pPr>
              <w:pStyle w:val="Heading3"/>
              <w:numPr>
                <w:ilvl w:val="0"/>
                <w:numId w:val="0"/>
              </w:numPr>
              <w:outlineLvl w:val="2"/>
            </w:pPr>
            <w:r w:rsidRPr="00A2772C">
              <w:t>Ensure that new and expanded innovation/science parks, and other relevant capital developments, include provision for incubating innovat</w:t>
            </w:r>
            <w:r w:rsidRPr="00A2772C">
              <w:t xml:space="preserve">ion-led start-ups </w:t>
            </w:r>
          </w:p>
        </w:tc>
        <w:tc>
          <w:tcPr>
            <w:tcW w:w="273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Capital investment in facilities across the County</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Space available to provide start-up/incubation space in innovation-led new businesses</w:t>
            </w:r>
          </w:p>
        </w:tc>
        <w:tc>
          <w:tcPr>
            <w:tcW w:w="273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Provide start-up and grow-on space for SMEs in Lancashire</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Support business start-ups to grow, furthe</w:t>
            </w:r>
            <w:r w:rsidRPr="00A2772C">
              <w:t>r building Lancashire’s business base</w:t>
            </w:r>
          </w:p>
        </w:tc>
        <w:tc>
          <w:tcPr>
            <w:tcW w:w="274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Start-ups occupy incubation space within Lancashire’s innovation assets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Increase in start-ups and survival for innovation-led businesses in Lancashire</w:t>
            </w:r>
          </w:p>
        </w:tc>
        <w:tc>
          <w:tcPr>
            <w:tcW w:w="3218"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Lancashire’s business base and economy grow through new start-ups </w:t>
            </w:r>
            <w:r w:rsidRPr="00A2772C">
              <w:t>in high growth innovative sectors</w:t>
            </w:r>
          </w:p>
          <w:p w:rsidR="00C366CC" w:rsidRPr="00A2772C" w:rsidRDefault="00BE7ED1" w:rsidP="00C366CC">
            <w:pPr>
              <w:pStyle w:val="ListBullet"/>
              <w:numPr>
                <w:ilvl w:val="0"/>
                <w:numId w:val="0"/>
              </w:numPr>
              <w:ind w:left="397"/>
              <w:cnfStyle w:val="000000000000" w:firstRow="0" w:lastRow="0" w:firstColumn="0" w:lastColumn="0" w:oddVBand="0" w:evenVBand="0" w:oddHBand="0" w:evenHBand="0" w:firstRowFirstColumn="0" w:firstRowLastColumn="0" w:lastRowFirstColumn="0" w:lastRowLastColumn="0"/>
            </w:pPr>
          </w:p>
        </w:tc>
      </w:tr>
      <w:tr w:rsidR="00351F99" w:rsidTr="0035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C366CC" w:rsidRPr="00A2772C" w:rsidRDefault="00BE7ED1" w:rsidP="00C366CC">
            <w:pPr>
              <w:pStyle w:val="Heading3"/>
              <w:numPr>
                <w:ilvl w:val="0"/>
                <w:numId w:val="0"/>
              </w:numPr>
              <w:outlineLvl w:val="2"/>
            </w:pPr>
            <w:r w:rsidRPr="00A2772C">
              <w:t>Facilitate networking between innovation and incubation centres to share best practice and deliver business support</w:t>
            </w:r>
          </w:p>
        </w:tc>
        <w:tc>
          <w:tcPr>
            <w:tcW w:w="273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assets/incubation space spread across the county</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Support/networking between these can be ad h</w:t>
            </w:r>
            <w:r w:rsidRPr="00A2772C">
              <w:t>oc and disjointed</w:t>
            </w:r>
          </w:p>
        </w:tc>
        <w:tc>
          <w:tcPr>
            <w:tcW w:w="273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Develop networks between innovation/incubation space to deliver business support</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Share best practice via innovation/incubation centres and between SMEs within them</w:t>
            </w:r>
          </w:p>
        </w:tc>
        <w:tc>
          <w:tcPr>
            <w:tcW w:w="274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New networks between innovation/incubation centres are developed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Business </w:t>
            </w:r>
            <w:r w:rsidRPr="00A2772C">
              <w:t xml:space="preserve">support is easily accessible and delivered efficiently </w:t>
            </w:r>
          </w:p>
        </w:tc>
        <w:tc>
          <w:tcPr>
            <w:tcW w:w="3218"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SMEs are supported to grow and develop</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Innovation/incubation centres in Lancashire are highly competitive locations for start-ups across a range of sectors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Innovation business support is tailored and </w:t>
            </w:r>
            <w:r w:rsidRPr="00A2772C">
              <w:t>delivered utilising the network</w:t>
            </w:r>
          </w:p>
        </w:tc>
      </w:tr>
      <w:tr w:rsidR="00351F99" w:rsidTr="00351F99">
        <w:tc>
          <w:tcPr>
            <w:cnfStyle w:val="001000000000" w:firstRow="0" w:lastRow="0" w:firstColumn="1" w:lastColumn="0" w:oddVBand="0" w:evenVBand="0" w:oddHBand="0" w:evenHBand="0" w:firstRowFirstColumn="0" w:firstRowLastColumn="0" w:lastRowFirstColumn="0" w:lastRowLastColumn="0"/>
            <w:tcW w:w="2739" w:type="dxa"/>
          </w:tcPr>
          <w:p w:rsidR="00C366CC" w:rsidRPr="00A2772C" w:rsidRDefault="00BE7ED1" w:rsidP="00C366CC">
            <w:pPr>
              <w:pStyle w:val="Heading3"/>
              <w:numPr>
                <w:ilvl w:val="0"/>
                <w:numId w:val="0"/>
              </w:numPr>
              <w:outlineLvl w:val="2"/>
            </w:pPr>
            <w:r w:rsidRPr="00A2772C">
              <w:t>Programme of visits from innovation success stories across the world to Lancashire to celebrate the difference innovation can make</w:t>
            </w:r>
          </w:p>
        </w:tc>
        <w:tc>
          <w:tcPr>
            <w:tcW w:w="273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Innovation successes from across the world not always promoted to SMEs, public, and voluntar</w:t>
            </w:r>
            <w:r w:rsidRPr="00A2772C">
              <w:t>y sectors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Benefits of innovation not always clearly articulated</w:t>
            </w:r>
          </w:p>
        </w:tc>
        <w:tc>
          <w:tcPr>
            <w:tcW w:w="273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Identify relevant innovation success stories, and </w:t>
            </w:r>
            <w:r w:rsidRPr="00C366CC">
              <w:rPr>
                <w:noProof/>
              </w:rPr>
              <w:t>coordinate</w:t>
            </w:r>
            <w:r w:rsidRPr="00A2772C">
              <w:t xml:space="preserve"> visits from key players involved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The innovation story and the difference it made is clearly articulated</w:t>
            </w:r>
          </w:p>
        </w:tc>
        <w:tc>
          <w:tcPr>
            <w:tcW w:w="274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Visits from relevant </w:t>
            </w:r>
            <w:r w:rsidRPr="00A2772C">
              <w:t>innovation success stories co-ordinated and delivered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Attended by representatives from across Lancashire’s economy</w:t>
            </w:r>
          </w:p>
        </w:tc>
        <w:tc>
          <w:tcPr>
            <w:tcW w:w="3218"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stakeholders understand and apply lessons from global best practice</w:t>
            </w:r>
          </w:p>
          <w:p w:rsidR="00C366CC" w:rsidRPr="00A2772C" w:rsidRDefault="00BE7ED1" w:rsidP="00C366CC">
            <w:pPr>
              <w:pStyle w:val="ListBullet"/>
              <w:numPr>
                <w:ilvl w:val="0"/>
                <w:numId w:val="0"/>
              </w:numPr>
              <w:ind w:left="397"/>
              <w:cnfStyle w:val="000000000000" w:firstRow="0" w:lastRow="0" w:firstColumn="0" w:lastColumn="0" w:oddVBand="0" w:evenVBand="0" w:oddHBand="0" w:evenHBand="0" w:firstRowFirstColumn="0" w:firstRowLastColumn="0" w:lastRowFirstColumn="0" w:lastRowLastColumn="0"/>
            </w:pPr>
          </w:p>
        </w:tc>
      </w:tr>
    </w:tbl>
    <w:p w:rsidR="00C366CC" w:rsidRDefault="00BE7ED1" w:rsidP="00C366CC">
      <w:pPr>
        <w:pStyle w:val="Heading2"/>
        <w:ind w:hanging="284"/>
      </w:pPr>
      <w:bookmarkStart w:id="211" w:name="_Toc502674278"/>
      <w:bookmarkStart w:id="212" w:name="_Toc502734624"/>
      <w:bookmarkStart w:id="213" w:name="_Toc502744337"/>
      <w:bookmarkStart w:id="214" w:name="_Toc504469798"/>
      <w:bookmarkStart w:id="215" w:name="_Toc504490238"/>
      <w:bookmarkStart w:id="216" w:name="_Toc504563084"/>
      <w:bookmarkStart w:id="217" w:name="_Toc505073283"/>
      <w:bookmarkStart w:id="218" w:name="_Toc505073778"/>
      <w:bookmarkStart w:id="219" w:name="_Toc508803099"/>
      <w:bookmarkStart w:id="220" w:name="_Toc502674279"/>
      <w:bookmarkStart w:id="221" w:name="_Toc502734625"/>
      <w:bookmarkStart w:id="222" w:name="_Toc502744338"/>
      <w:bookmarkStart w:id="223" w:name="_Toc504469799"/>
      <w:bookmarkStart w:id="224" w:name="_Toc504490239"/>
      <w:bookmarkStart w:id="225" w:name="_Toc504563085"/>
      <w:bookmarkStart w:id="226" w:name="_Toc505073284"/>
      <w:bookmarkStart w:id="227" w:name="_Toc505073779"/>
      <w:r w:rsidRPr="00A2772C">
        <w:lastRenderedPageBreak/>
        <w:t>Strategic Aim 4 – Enabling Infrastructures for Innovation</w:t>
      </w:r>
      <w:bookmarkEnd w:id="211"/>
      <w:bookmarkEnd w:id="212"/>
      <w:bookmarkEnd w:id="213"/>
      <w:bookmarkEnd w:id="214"/>
      <w:bookmarkEnd w:id="215"/>
      <w:bookmarkEnd w:id="216"/>
      <w:bookmarkEnd w:id="217"/>
      <w:bookmarkEnd w:id="218"/>
      <w:bookmarkEnd w:id="219"/>
    </w:p>
    <w:tbl>
      <w:tblPr>
        <w:tblStyle w:val="SDGTableDefault"/>
        <w:tblpPr w:leftFromText="180" w:rightFromText="180" w:vertAnchor="page" w:horzAnchor="margin" w:tblpXSpec="center" w:tblpY="1855"/>
        <w:tblW w:w="14251" w:type="dxa"/>
        <w:tblLook w:val="04A0" w:firstRow="1" w:lastRow="0" w:firstColumn="1" w:lastColumn="0" w:noHBand="0" w:noVBand="1"/>
      </w:tblPr>
      <w:tblGrid>
        <w:gridCol w:w="3097"/>
        <w:gridCol w:w="2602"/>
        <w:gridCol w:w="2850"/>
        <w:gridCol w:w="2851"/>
        <w:gridCol w:w="2851"/>
      </w:tblGrid>
      <w:tr w:rsidR="00351F99" w:rsidTr="00351F9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97" w:type="dxa"/>
          </w:tcPr>
          <w:p w:rsidR="00C366CC" w:rsidRPr="00A2772C" w:rsidRDefault="00BE7ED1" w:rsidP="00C366CC">
            <w:pPr>
              <w:pStyle w:val="Heading3"/>
              <w:numPr>
                <w:ilvl w:val="0"/>
                <w:numId w:val="0"/>
              </w:numPr>
              <w:outlineLvl w:val="2"/>
              <w:rPr>
                <w:sz w:val="24"/>
              </w:rPr>
            </w:pPr>
            <w:r w:rsidRPr="00A2772C">
              <w:rPr>
                <w:b/>
                <w:sz w:val="24"/>
              </w:rPr>
              <w:t>Ac</w:t>
            </w:r>
            <w:r w:rsidRPr="00A2772C">
              <w:rPr>
                <w:b/>
                <w:sz w:val="24"/>
              </w:rPr>
              <w:t>tion</w:t>
            </w:r>
          </w:p>
        </w:tc>
        <w:tc>
          <w:tcPr>
            <w:tcW w:w="2602"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Rationale</w:t>
            </w:r>
          </w:p>
        </w:tc>
        <w:tc>
          <w:tcPr>
            <w:tcW w:w="2850"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Objectives</w:t>
            </w:r>
          </w:p>
        </w:tc>
        <w:tc>
          <w:tcPr>
            <w:tcW w:w="2851"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Outputs</w:t>
            </w:r>
          </w:p>
        </w:tc>
        <w:tc>
          <w:tcPr>
            <w:tcW w:w="2851"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Outcomes</w:t>
            </w:r>
          </w:p>
        </w:tc>
      </w:tr>
      <w:tr w:rsidR="00351F99" w:rsidTr="00351F99">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3097" w:type="dxa"/>
          </w:tcPr>
          <w:p w:rsidR="00C366CC" w:rsidRPr="00A2772C" w:rsidRDefault="00BE7ED1" w:rsidP="00C366CC">
            <w:pPr>
              <w:pStyle w:val="Heading3"/>
              <w:numPr>
                <w:ilvl w:val="0"/>
                <w:numId w:val="0"/>
              </w:numPr>
              <w:outlineLvl w:val="2"/>
            </w:pPr>
            <w:r w:rsidRPr="00A2772C">
              <w:t xml:space="preserve">Create an innovation graduate placement programme for SMEs to increase </w:t>
            </w:r>
            <w:r w:rsidRPr="0074708B">
              <w:rPr>
                <w:noProof/>
              </w:rPr>
              <w:t>the number</w:t>
            </w:r>
            <w:r w:rsidRPr="00A2772C">
              <w:t xml:space="preserve"> of SMEs with graduate talent</w:t>
            </w:r>
          </w:p>
        </w:tc>
        <w:tc>
          <w:tcPr>
            <w:tcW w:w="2602"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Lancashire’s graduate retention is good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However, difficulties to recruit to higher-level jobs </w:t>
            </w:r>
          </w:p>
        </w:tc>
        <w:tc>
          <w:tcPr>
            <w:tcW w:w="285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rPr>
                <w:b/>
              </w:rPr>
            </w:pPr>
            <w:r w:rsidRPr="00A2772C">
              <w:t>Connect graduate talent to Lancashire’s SME base, particularly in key innovation sectors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rPr>
                <w:b/>
              </w:rPr>
            </w:pPr>
            <w:r w:rsidRPr="00A2772C">
              <w:t>Create new opportunities for both Lancashire graduates and Lancashire businesses</w:t>
            </w:r>
          </w:p>
        </w:tc>
        <w:tc>
          <w:tcPr>
            <w:tcW w:w="2851"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Increase in graduate talent from Lancashire HEIs working in Lancashire SMEs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w:t>
            </w:r>
            <w:r w:rsidRPr="00A2772C">
              <w:t xml:space="preserve"> SMEs benefit from higher level skills</w:t>
            </w:r>
          </w:p>
        </w:tc>
        <w:tc>
          <w:tcPr>
            <w:tcW w:w="2851"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Lancashire’s SMEs ha</w:t>
            </w:r>
            <w:r>
              <w:t>s a</w:t>
            </w:r>
            <w:r w:rsidRPr="00A2772C">
              <w:t xml:space="preserve"> </w:t>
            </w:r>
            <w:r w:rsidRPr="0074708B">
              <w:rPr>
                <w:noProof/>
              </w:rPr>
              <w:t>higher</w:t>
            </w:r>
            <w:r w:rsidRPr="00A2772C">
              <w:t xml:space="preserve"> skilled workforce, becoming more innovative and resilient</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Connections between HEIs and SMEs is strengthened</w:t>
            </w:r>
          </w:p>
        </w:tc>
      </w:tr>
      <w:tr w:rsidR="00351F99" w:rsidTr="00351F99">
        <w:trPr>
          <w:trHeight w:val="1440"/>
        </w:trPr>
        <w:tc>
          <w:tcPr>
            <w:cnfStyle w:val="001000000000" w:firstRow="0" w:lastRow="0" w:firstColumn="1" w:lastColumn="0" w:oddVBand="0" w:evenVBand="0" w:oddHBand="0" w:evenHBand="0" w:firstRowFirstColumn="0" w:firstRowLastColumn="0" w:lastRowFirstColumn="0" w:lastRowLastColumn="0"/>
            <w:tcW w:w="3097" w:type="dxa"/>
          </w:tcPr>
          <w:p w:rsidR="00C366CC" w:rsidRPr="00A2772C" w:rsidRDefault="00BE7ED1" w:rsidP="00C366CC">
            <w:pPr>
              <w:pStyle w:val="Heading3"/>
              <w:ind w:firstLine="34"/>
              <w:outlineLvl w:val="2"/>
            </w:pPr>
            <w:r w:rsidRPr="00A2772C">
              <w:t xml:space="preserve">Via Boost, develop a specific, single point of contact programme of support for innovation-led start-up or early-stage businesses, </w:t>
            </w:r>
          </w:p>
          <w:p w:rsidR="00C366CC" w:rsidRPr="00A2772C" w:rsidRDefault="00BE7ED1" w:rsidP="00C366CC">
            <w:pPr>
              <w:pStyle w:val="ListBullet"/>
              <w:numPr>
                <w:ilvl w:val="0"/>
                <w:numId w:val="0"/>
              </w:numPr>
            </w:pPr>
          </w:p>
        </w:tc>
        <w:tc>
          <w:tcPr>
            <w:tcW w:w="2602"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Boost already a successful business support programme</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Can be expanded to directly support innovation</w:t>
            </w:r>
          </w:p>
        </w:tc>
        <w:tc>
          <w:tcPr>
            <w:tcW w:w="285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Enhance Boost’s offer </w:t>
            </w:r>
            <w:r w:rsidRPr="00A2772C">
              <w:t>in innovation-specific advice to SMEs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Develop a single-point-of-contact for SMEs to navigate the innovation landscape</w:t>
            </w:r>
          </w:p>
        </w:tc>
        <w:tc>
          <w:tcPr>
            <w:tcW w:w="2851"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Boost’s offer to SMEs will be enhanced with a specific innovation offering</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SMEs will access Boost for Innovation support</w:t>
            </w:r>
          </w:p>
        </w:tc>
        <w:tc>
          <w:tcPr>
            <w:tcW w:w="2851"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SMEs a</w:t>
            </w:r>
            <w:r w:rsidRPr="00A2772C">
              <w:t>re supported throughout the innovation process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The support SMEs need is available from a single point of contact</w:t>
            </w:r>
          </w:p>
        </w:tc>
      </w:tr>
      <w:tr w:rsidR="00351F99" w:rsidTr="00351F99">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3097" w:type="dxa"/>
          </w:tcPr>
          <w:p w:rsidR="00C366CC" w:rsidRPr="00A2772C" w:rsidRDefault="00BE7ED1" w:rsidP="00C366CC">
            <w:pPr>
              <w:pStyle w:val="Heading3"/>
              <w:outlineLvl w:val="2"/>
            </w:pPr>
            <w:r w:rsidRPr="00A2772C">
              <w:t xml:space="preserve">Explore options for creating a Lancashire Innovation Fund for investing in early-stage funding for innovation-led start-ups, funded by public </w:t>
            </w:r>
            <w:r w:rsidRPr="00A2772C">
              <w:t>and private sector partners</w:t>
            </w:r>
          </w:p>
        </w:tc>
        <w:tc>
          <w:tcPr>
            <w:tcW w:w="2602"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Access to finance, and the disjointedness of the funding landscape, can be a barrier for start-ups</w:t>
            </w:r>
          </w:p>
        </w:tc>
        <w:tc>
          <w:tcPr>
            <w:tcW w:w="285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Identify potential options for a Lancashire Innovation Fund, to provide financial support to innovation-led start-ups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 xml:space="preserve">Assess the </w:t>
            </w:r>
            <w:r w:rsidRPr="00A2772C">
              <w:t>viability of these options</w:t>
            </w:r>
          </w:p>
        </w:tc>
        <w:tc>
          <w:tcPr>
            <w:tcW w:w="2851"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C366CC">
              <w:rPr>
                <w:noProof/>
              </w:rPr>
              <w:t>Successful</w:t>
            </w:r>
            <w:r w:rsidRPr="00A2772C">
              <w:t xml:space="preserve"> investment which attracts further interest from market funders</w:t>
            </w:r>
          </w:p>
        </w:tc>
        <w:tc>
          <w:tcPr>
            <w:tcW w:w="2851"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Funding is accessible for start-ups and tailored to Lancashire’s business needs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 supports its innovation-led businesses to start-up and grow</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Retu</w:t>
            </w:r>
            <w:r w:rsidRPr="00A2772C">
              <w:t>rns on investment for funders</w:t>
            </w:r>
          </w:p>
        </w:tc>
      </w:tr>
      <w:tr w:rsidR="00351F99" w:rsidTr="00351F99">
        <w:trPr>
          <w:trHeight w:val="1785"/>
        </w:trPr>
        <w:tc>
          <w:tcPr>
            <w:cnfStyle w:val="001000000000" w:firstRow="0" w:lastRow="0" w:firstColumn="1" w:lastColumn="0" w:oddVBand="0" w:evenVBand="0" w:oddHBand="0" w:evenHBand="0" w:firstRowFirstColumn="0" w:firstRowLastColumn="0" w:lastRowFirstColumn="0" w:lastRowLastColumn="0"/>
            <w:tcW w:w="3097" w:type="dxa"/>
          </w:tcPr>
          <w:p w:rsidR="00C366CC" w:rsidRPr="00A2772C" w:rsidRDefault="00BE7ED1" w:rsidP="00C366CC">
            <w:pPr>
              <w:pStyle w:val="Heading3"/>
              <w:outlineLvl w:val="2"/>
            </w:pPr>
            <w:r w:rsidRPr="00A2772C">
              <w:t>Programme to promote innovation across public and third sectors</w:t>
            </w:r>
          </w:p>
        </w:tc>
        <w:tc>
          <w:tcPr>
            <w:tcW w:w="2602"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Innovation </w:t>
            </w:r>
            <w:r>
              <w:t xml:space="preserve">is </w:t>
            </w:r>
            <w:r w:rsidRPr="00C366CC">
              <w:rPr>
                <w:noProof/>
              </w:rPr>
              <w:t>often seen</w:t>
            </w:r>
            <w:r w:rsidRPr="00A2772C">
              <w:t xml:space="preserve"> as the preserve</w:t>
            </w:r>
            <w:r>
              <w:t xml:space="preserve"> of</w:t>
            </w:r>
            <w:r w:rsidRPr="00A2772C">
              <w:t xml:space="preserve"> </w:t>
            </w:r>
            <w:r>
              <w:t>large</w:t>
            </w:r>
            <w:r w:rsidRPr="00A2772C">
              <w:t xml:space="preserve"> private sector companies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Need for public and community and voluntary organisations to innovate to be more efficient and </w:t>
            </w:r>
            <w:r w:rsidRPr="00C366CC">
              <w:rPr>
                <w:noProof/>
              </w:rPr>
              <w:t>forward</w:t>
            </w:r>
            <w:r>
              <w:rPr>
                <w:noProof/>
              </w:rPr>
              <w:t>-</w:t>
            </w:r>
            <w:r w:rsidRPr="00C366CC">
              <w:rPr>
                <w:noProof/>
              </w:rPr>
              <w:t>looking</w:t>
            </w:r>
          </w:p>
        </w:tc>
        <w:tc>
          <w:tcPr>
            <w:tcW w:w="285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Promote the opportunities for and benefits of innovation to public and voluntary sector organisations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Innovation to become pervasiv</w:t>
            </w:r>
            <w:r>
              <w:t>e mindset acro</w:t>
            </w:r>
            <w:r>
              <w:t>ss the whole</w:t>
            </w:r>
            <w:r w:rsidRPr="00A2772C">
              <w:t xml:space="preserve"> Lancashire economy</w:t>
            </w:r>
          </w:p>
        </w:tc>
        <w:tc>
          <w:tcPr>
            <w:tcW w:w="2851"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Public and voluntary sector organisations are aware of innovation opportunities and adopt innovative processes </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Innovation is generated not just in the private sector</w:t>
            </w:r>
          </w:p>
        </w:tc>
        <w:tc>
          <w:tcPr>
            <w:tcW w:w="2851"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Lancashire’s whole economy is innovation-focussed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Innovation mindset is pervasive across the private, public, and third sectors</w:t>
            </w:r>
          </w:p>
        </w:tc>
      </w:tr>
      <w:tr w:rsidR="00351F99" w:rsidTr="00351F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97" w:type="dxa"/>
          </w:tcPr>
          <w:p w:rsidR="00C366CC" w:rsidRPr="00A2772C" w:rsidRDefault="00BE7ED1" w:rsidP="00C366CC">
            <w:pPr>
              <w:pStyle w:val="Heading3"/>
              <w:outlineLvl w:val="2"/>
            </w:pPr>
            <w:r w:rsidRPr="00A2772C">
              <w:t>Embed Intellectual Property (IP) in innovation initiatives</w:t>
            </w:r>
          </w:p>
        </w:tc>
        <w:tc>
          <w:tcPr>
            <w:tcW w:w="2602"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IP a key part of innovation development and commercialisation</w:t>
            </w:r>
          </w:p>
          <w:p w:rsidR="00C366CC" w:rsidRPr="00A2772C" w:rsidRDefault="00BE7ED1" w:rsidP="00C366C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5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Working with the IPO, develop IP capability and capacit</w:t>
            </w:r>
            <w:r w:rsidRPr="00A2772C">
              <w:t xml:space="preserve">y across Lancashire </w:t>
            </w:r>
          </w:p>
        </w:tc>
        <w:tc>
          <w:tcPr>
            <w:tcW w:w="2851"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Wider and deeper understanding of IP management</w:t>
            </w:r>
          </w:p>
        </w:tc>
        <w:tc>
          <w:tcPr>
            <w:tcW w:w="2851"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IP in Lancashire is well managed and protected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IP developed in Lancashire is commercialised</w:t>
            </w:r>
          </w:p>
        </w:tc>
      </w:tr>
    </w:tbl>
    <w:p w:rsidR="007F6242" w:rsidRDefault="00BE7ED1" w:rsidP="0074708B"/>
    <w:p w:rsidR="007F6242" w:rsidRDefault="00BE7ED1">
      <w:pPr>
        <w:rPr>
          <w:rFonts w:asciiTheme="majorHAnsi" w:eastAsiaTheme="majorEastAsia" w:hAnsiTheme="majorHAnsi" w:cstheme="majorBidi"/>
          <w:b/>
          <w:bCs/>
          <w:color w:val="009483" w:themeColor="text2"/>
          <w:sz w:val="28"/>
          <w:szCs w:val="26"/>
        </w:rPr>
      </w:pPr>
      <w:r>
        <w:br w:type="page"/>
      </w:r>
    </w:p>
    <w:p w:rsidR="001B083F" w:rsidRDefault="00BE7ED1" w:rsidP="00C366CC">
      <w:pPr>
        <w:pStyle w:val="Heading2"/>
        <w:ind w:hanging="426"/>
      </w:pPr>
      <w:bookmarkStart w:id="228" w:name="_Toc508803100"/>
      <w:r w:rsidRPr="00A2772C">
        <w:lastRenderedPageBreak/>
        <w:t xml:space="preserve">Strategic Aim </w:t>
      </w:r>
      <w:r w:rsidRPr="00A2772C">
        <w:t>5</w:t>
      </w:r>
      <w:r w:rsidRPr="00A2772C">
        <w:t xml:space="preserve"> –</w:t>
      </w:r>
      <w:r w:rsidRPr="00A2772C">
        <w:t xml:space="preserve"> </w:t>
      </w:r>
      <w:r>
        <w:t>Letting t</w:t>
      </w:r>
      <w:r w:rsidRPr="00A2772C">
        <w:t>he World Know</w:t>
      </w:r>
      <w:bookmarkEnd w:id="220"/>
      <w:bookmarkEnd w:id="221"/>
      <w:bookmarkEnd w:id="222"/>
      <w:bookmarkEnd w:id="223"/>
      <w:bookmarkEnd w:id="224"/>
      <w:bookmarkEnd w:id="225"/>
      <w:bookmarkEnd w:id="226"/>
      <w:bookmarkEnd w:id="227"/>
      <w:r>
        <w:t>!</w:t>
      </w:r>
      <w:bookmarkEnd w:id="228"/>
      <w:r w:rsidRPr="00A2772C">
        <w:t xml:space="preserve"> </w:t>
      </w:r>
    </w:p>
    <w:p w:rsidR="00C366CC" w:rsidRDefault="00BE7ED1" w:rsidP="00C366CC">
      <w:pPr>
        <w:pStyle w:val="Source"/>
        <w:spacing w:after="0"/>
        <w:ind w:hanging="426"/>
      </w:pPr>
    </w:p>
    <w:p w:rsidR="00C366CC" w:rsidRPr="00C366CC" w:rsidRDefault="00BE7ED1" w:rsidP="00C366CC">
      <w:pPr>
        <w:pStyle w:val="Source"/>
        <w:spacing w:after="0"/>
        <w:ind w:hanging="426"/>
      </w:pPr>
    </w:p>
    <w:tbl>
      <w:tblPr>
        <w:tblStyle w:val="SDGTableDefault"/>
        <w:tblpPr w:leftFromText="180" w:rightFromText="180" w:vertAnchor="page" w:horzAnchor="page" w:tblpX="1235" w:tblpY="1747"/>
        <w:tblW w:w="14297" w:type="dxa"/>
        <w:tblLook w:val="04A0" w:firstRow="1" w:lastRow="0" w:firstColumn="1" w:lastColumn="0" w:noHBand="0" w:noVBand="1"/>
      </w:tblPr>
      <w:tblGrid>
        <w:gridCol w:w="2859"/>
        <w:gridCol w:w="2859"/>
        <w:gridCol w:w="2859"/>
        <w:gridCol w:w="2860"/>
        <w:gridCol w:w="2860"/>
      </w:tblGrid>
      <w:tr w:rsidR="00351F99" w:rsidTr="00351F9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59" w:type="dxa"/>
          </w:tcPr>
          <w:p w:rsidR="00C366CC" w:rsidRPr="00A2772C" w:rsidRDefault="00BE7ED1" w:rsidP="00C366CC">
            <w:pPr>
              <w:pStyle w:val="Heading3"/>
              <w:numPr>
                <w:ilvl w:val="0"/>
                <w:numId w:val="0"/>
              </w:numPr>
              <w:outlineLvl w:val="2"/>
              <w:rPr>
                <w:sz w:val="24"/>
              </w:rPr>
            </w:pPr>
            <w:r w:rsidRPr="00A2772C">
              <w:rPr>
                <w:b/>
                <w:sz w:val="24"/>
              </w:rPr>
              <w:t>Action</w:t>
            </w:r>
          </w:p>
        </w:tc>
        <w:tc>
          <w:tcPr>
            <w:tcW w:w="2859"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Rationale</w:t>
            </w:r>
          </w:p>
        </w:tc>
        <w:tc>
          <w:tcPr>
            <w:tcW w:w="2859"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Objectives</w:t>
            </w:r>
          </w:p>
        </w:tc>
        <w:tc>
          <w:tcPr>
            <w:tcW w:w="2860"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Outputs</w:t>
            </w:r>
          </w:p>
        </w:tc>
        <w:tc>
          <w:tcPr>
            <w:tcW w:w="2860" w:type="dxa"/>
          </w:tcPr>
          <w:p w:rsidR="00C366CC" w:rsidRPr="00A2772C" w:rsidRDefault="00BE7ED1" w:rsidP="00C366CC">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sz w:val="24"/>
              </w:rPr>
            </w:pPr>
            <w:r w:rsidRPr="00A2772C">
              <w:rPr>
                <w:b/>
                <w:sz w:val="24"/>
              </w:rPr>
              <w:t>Outcomes</w:t>
            </w:r>
          </w:p>
        </w:tc>
      </w:tr>
      <w:tr w:rsidR="00351F99" w:rsidTr="00351F99">
        <w:trPr>
          <w:cnfStyle w:val="000000100000" w:firstRow="0" w:lastRow="0" w:firstColumn="0" w:lastColumn="0" w:oddVBand="0" w:evenVBand="0" w:oddHBand="1" w:evenHBand="0"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2859" w:type="dxa"/>
          </w:tcPr>
          <w:p w:rsidR="00C366CC" w:rsidRPr="00A2772C" w:rsidRDefault="00BE7ED1" w:rsidP="00C366CC">
            <w:pPr>
              <w:pStyle w:val="Heading3"/>
              <w:numPr>
                <w:ilvl w:val="0"/>
                <w:numId w:val="0"/>
              </w:numPr>
              <w:outlineLvl w:val="2"/>
            </w:pPr>
            <w:r w:rsidRPr="00A2772C">
              <w:t>Holding an annual Innovation Showcase to celebrate successful innovation in the round, share good practice, and provide opportunities to engage with potential investors (sponsored by a local large company)</w:t>
            </w:r>
          </w:p>
        </w:tc>
        <w:tc>
          <w:tcPr>
            <w:tcW w:w="285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 is a ‘well-kept secret’ in UK innovatio</w:t>
            </w:r>
            <w:r w:rsidRPr="00A2772C">
              <w:t>n</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success stories not broadcast widely enough</w:t>
            </w:r>
          </w:p>
        </w:tc>
        <w:tc>
          <w:tcPr>
            <w:tcW w:w="285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Hold an annual Innovation Showcase in Lancashire, sponsored by local business, to promote and celebrate innovation in Lancashire</w:t>
            </w:r>
          </w:p>
        </w:tc>
        <w:tc>
          <w:tcPr>
            <w:tcW w:w="286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successes celebrated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Good practice shared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Potential investo</w:t>
            </w:r>
            <w:r w:rsidRPr="00A2772C">
              <w:t xml:space="preserve">rs are aware of and </w:t>
            </w:r>
            <w:r w:rsidRPr="00A2772C">
              <w:t>can</w:t>
            </w:r>
            <w:r w:rsidRPr="00A2772C">
              <w:t xml:space="preserve"> engage with Lancashire businesses</w:t>
            </w:r>
          </w:p>
        </w:tc>
        <w:tc>
          <w:tcPr>
            <w:tcW w:w="286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Lancashire’s innovation successes are celebrated and shared widely</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Potential investors are clear on Lancashire’s innovation offer and target investment in the area</w:t>
            </w:r>
          </w:p>
        </w:tc>
      </w:tr>
      <w:tr w:rsidR="00351F99" w:rsidTr="00351F99">
        <w:trPr>
          <w:trHeight w:val="2036"/>
        </w:trPr>
        <w:tc>
          <w:tcPr>
            <w:cnfStyle w:val="001000000000" w:firstRow="0" w:lastRow="0" w:firstColumn="1" w:lastColumn="0" w:oddVBand="0" w:evenVBand="0" w:oddHBand="0" w:evenHBand="0" w:firstRowFirstColumn="0" w:firstRowLastColumn="0" w:lastRowFirstColumn="0" w:lastRowLastColumn="0"/>
            <w:tcW w:w="2859" w:type="dxa"/>
          </w:tcPr>
          <w:p w:rsidR="00C366CC" w:rsidRPr="00A2772C" w:rsidRDefault="00BE7ED1" w:rsidP="00C366CC">
            <w:pPr>
              <w:pStyle w:val="Heading3"/>
              <w:numPr>
                <w:ilvl w:val="0"/>
                <w:numId w:val="0"/>
              </w:numPr>
              <w:outlineLvl w:val="2"/>
            </w:pPr>
            <w:r w:rsidRPr="00A2772C">
              <w:t xml:space="preserve">Develop Lancashire Innovation </w:t>
            </w:r>
            <w:r w:rsidRPr="00A2772C">
              <w:t>marketing strategy utilising existing assets and opportunities to act as centres for attracting inward investment</w:t>
            </w:r>
          </w:p>
        </w:tc>
        <w:tc>
          <w:tcPr>
            <w:tcW w:w="285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Lack of coherent, strategic marketing narrative about innovation in Lancashire</w:t>
            </w:r>
          </w:p>
        </w:tc>
        <w:tc>
          <w:tcPr>
            <w:tcW w:w="285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rPr>
                <w:b/>
              </w:rPr>
            </w:pPr>
            <w:r w:rsidRPr="00A2772C">
              <w:t xml:space="preserve">Develop a coherent narrative of Lancashire’s innovation </w:t>
            </w:r>
            <w:r w:rsidRPr="00A2772C">
              <w:t>successes, capabilities, and opportunities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rPr>
                <w:b/>
              </w:rPr>
            </w:pPr>
            <w:r w:rsidRPr="00A2772C">
              <w:t>Drive inward investment into Lancashire’s innovation strengths</w:t>
            </w:r>
          </w:p>
        </w:tc>
        <w:tc>
          <w:tcPr>
            <w:tcW w:w="286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A marketing strategy, with an agreed and coherent narrative about Lancashire’s innovation offer, to be developed</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Strategy to be delivered via multiple</w:t>
            </w:r>
            <w:r w:rsidRPr="00A2772C">
              <w:t xml:space="preserve"> channels to ensure</w:t>
            </w:r>
            <w:r>
              <w:t xml:space="preserve"> the</w:t>
            </w:r>
            <w:r w:rsidRPr="00A2772C">
              <w:t xml:space="preserve"> </w:t>
            </w:r>
            <w:r w:rsidRPr="00C366CC">
              <w:rPr>
                <w:noProof/>
              </w:rPr>
              <w:t>widest</w:t>
            </w:r>
            <w:r w:rsidRPr="00A2772C">
              <w:t xml:space="preserve"> audience in the UK and internationally is engaged</w:t>
            </w:r>
          </w:p>
        </w:tc>
        <w:tc>
          <w:tcPr>
            <w:tcW w:w="286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Lancashire’s innovation offer is understood both domestically and internationally</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County’s innovation offer to Inward investment is increased and business developed as a resul</w:t>
            </w:r>
            <w:r w:rsidRPr="00A2772C">
              <w:t>t</w:t>
            </w:r>
          </w:p>
        </w:tc>
      </w:tr>
      <w:tr w:rsidR="00351F99" w:rsidTr="00351F99">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2859" w:type="dxa"/>
          </w:tcPr>
          <w:p w:rsidR="00C366CC" w:rsidRPr="00A2772C" w:rsidRDefault="00BE7ED1" w:rsidP="00C366CC">
            <w:pPr>
              <w:pStyle w:val="Heading3"/>
              <w:numPr>
                <w:ilvl w:val="0"/>
                <w:numId w:val="0"/>
              </w:numPr>
              <w:outlineLvl w:val="2"/>
            </w:pPr>
            <w:r w:rsidRPr="00A2772C">
              <w:t>Develop and disseminate a portfolio of innovation case studies showing how innovation has enabled Lancashire SMEs to grow</w:t>
            </w:r>
          </w:p>
        </w:tc>
        <w:tc>
          <w:tcPr>
            <w:tcW w:w="285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in Lancashire perceived as a preserve of large companies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in SMEs and emerging sectors less well known</w:t>
            </w:r>
          </w:p>
        </w:tc>
        <w:tc>
          <w:tcPr>
            <w:tcW w:w="2859"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Develop</w:t>
            </w:r>
            <w:r w:rsidRPr="00A2772C">
              <w:t xml:space="preserve"> case study examples of successful SMEs that have grown through innovation</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Share best practice examples to increase awareness and inspire other SMEs</w:t>
            </w:r>
          </w:p>
        </w:tc>
        <w:tc>
          <w:tcPr>
            <w:tcW w:w="286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Pr>
                <w:noProof/>
              </w:rPr>
              <w:t>A s</w:t>
            </w:r>
            <w:r w:rsidRPr="00C366CC">
              <w:rPr>
                <w:noProof/>
              </w:rPr>
              <w:t>uite</w:t>
            </w:r>
            <w:r w:rsidRPr="00A2772C">
              <w:t xml:space="preserve"> of case studies developed and disseminated</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Innovation in Lancashire’s SMEs better understood</w:t>
            </w:r>
          </w:p>
        </w:tc>
        <w:tc>
          <w:tcPr>
            <w:tcW w:w="2860" w:type="dxa"/>
          </w:tcPr>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w:t>
            </w:r>
            <w:r w:rsidRPr="00A2772C">
              <w:t>hire SMEs grow through access to new, larger markers</w:t>
            </w:r>
          </w:p>
          <w:p w:rsidR="00C366CC" w:rsidRPr="00A2772C" w:rsidRDefault="00BE7ED1" w:rsidP="00C366CC">
            <w:pPr>
              <w:pStyle w:val="ListBullet"/>
              <w:cnfStyle w:val="000000100000" w:firstRow="0" w:lastRow="0" w:firstColumn="0" w:lastColumn="0" w:oddVBand="0" w:evenVBand="0" w:oddHBand="1" w:evenHBand="0" w:firstRowFirstColumn="0" w:firstRowLastColumn="0" w:lastRowFirstColumn="0" w:lastRowLastColumn="0"/>
            </w:pPr>
            <w:r w:rsidRPr="00A2772C">
              <w:t>Lancashire’s full innovation offer is well known, both domestically and internationally</w:t>
            </w:r>
          </w:p>
        </w:tc>
      </w:tr>
      <w:tr w:rsidR="00351F99" w:rsidTr="00351F99">
        <w:trPr>
          <w:trHeight w:val="1440"/>
        </w:trPr>
        <w:tc>
          <w:tcPr>
            <w:cnfStyle w:val="001000000000" w:firstRow="0" w:lastRow="0" w:firstColumn="1" w:lastColumn="0" w:oddVBand="0" w:evenVBand="0" w:oddHBand="0" w:evenHBand="0" w:firstRowFirstColumn="0" w:firstRowLastColumn="0" w:lastRowFirstColumn="0" w:lastRowLastColumn="0"/>
            <w:tcW w:w="2859" w:type="dxa"/>
          </w:tcPr>
          <w:p w:rsidR="00C366CC" w:rsidRPr="00A2772C" w:rsidRDefault="00BE7ED1" w:rsidP="00C366CC">
            <w:pPr>
              <w:pStyle w:val="Heading3"/>
              <w:numPr>
                <w:ilvl w:val="0"/>
                <w:numId w:val="0"/>
              </w:numPr>
              <w:outlineLvl w:val="2"/>
            </w:pPr>
            <w:r w:rsidRPr="00A2772C">
              <w:t>County setting the agenda in National Forums</w:t>
            </w:r>
          </w:p>
        </w:tc>
        <w:tc>
          <w:tcPr>
            <w:tcW w:w="285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 xml:space="preserve">Lancashire not well-represented in national innovation policy-making </w:t>
            </w:r>
            <w:r w:rsidRPr="00A2772C">
              <w:t>forums</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“responding to” rather than “shaping and driving” policy</w:t>
            </w:r>
          </w:p>
        </w:tc>
        <w:tc>
          <w:tcPr>
            <w:tcW w:w="2859"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Lancashire’s voice to be heard in</w:t>
            </w:r>
            <w:r>
              <w:t xml:space="preserve"> the</w:t>
            </w:r>
            <w:r w:rsidRPr="00A2772C">
              <w:t xml:space="preserve"> </w:t>
            </w:r>
            <w:r w:rsidRPr="00C366CC">
              <w:rPr>
                <w:noProof/>
              </w:rPr>
              <w:t>national</w:t>
            </w:r>
            <w:r w:rsidRPr="00A2772C">
              <w:t xml:space="preserve"> debate</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plays</w:t>
            </w:r>
            <w:r>
              <w:t xml:space="preserve"> a</w:t>
            </w:r>
            <w:r w:rsidRPr="00A2772C">
              <w:t xml:space="preserve"> </w:t>
            </w:r>
            <w:r w:rsidRPr="00C366CC">
              <w:rPr>
                <w:noProof/>
              </w:rPr>
              <w:t>prominent</w:t>
            </w:r>
            <w:r w:rsidRPr="00A2772C">
              <w:t xml:space="preserve"> role in shaping, developing, and implementing national policy</w:t>
            </w:r>
          </w:p>
        </w:tc>
        <w:tc>
          <w:tcPr>
            <w:tcW w:w="2860" w:type="dxa"/>
          </w:tcPr>
          <w:p w:rsidR="00C366CC" w:rsidRPr="00A2772C" w:rsidRDefault="00BE7ED1" w:rsidP="00C366CC">
            <w:pPr>
              <w:pStyle w:val="ListBullet"/>
              <w:jc w:val="both"/>
              <w:cnfStyle w:val="000000000000" w:firstRow="0" w:lastRow="0" w:firstColumn="0" w:lastColumn="0" w:oddVBand="0" w:evenVBand="0" w:oddHBand="0" w:evenHBand="0" w:firstRowFirstColumn="0" w:firstRowLastColumn="0" w:lastRowFirstColumn="0" w:lastRowLastColumn="0"/>
            </w:pPr>
            <w:r>
              <w:t xml:space="preserve">Lancashire </w:t>
            </w:r>
            <w:r w:rsidRPr="00A2772C">
              <w:t>represented in national p</w:t>
            </w:r>
            <w:r w:rsidRPr="00A2772C">
              <w:t>olicy forums</w:t>
            </w:r>
          </w:p>
          <w:p w:rsidR="00C366CC" w:rsidRPr="00A2772C" w:rsidRDefault="00BE7ED1" w:rsidP="00C366CC">
            <w:pPr>
              <w:pStyle w:val="ListBullet"/>
              <w:numPr>
                <w:ilvl w:val="0"/>
                <w:numId w:val="0"/>
              </w:numPr>
              <w:ind w:left="397"/>
              <w:cnfStyle w:val="000000000000" w:firstRow="0" w:lastRow="0" w:firstColumn="0" w:lastColumn="0" w:oddVBand="0" w:evenVBand="0" w:oddHBand="0" w:evenHBand="0" w:firstRowFirstColumn="0" w:firstRowLastColumn="0" w:lastRowFirstColumn="0" w:lastRowLastColumn="0"/>
            </w:pPr>
          </w:p>
        </w:tc>
        <w:tc>
          <w:tcPr>
            <w:tcW w:w="2860" w:type="dxa"/>
          </w:tcPr>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Lancashire’s innovation offer and expertise is well known and sought after</w:t>
            </w:r>
          </w:p>
          <w:p w:rsidR="00C366CC" w:rsidRPr="00A2772C" w:rsidRDefault="00BE7ED1" w:rsidP="00C366CC">
            <w:pPr>
              <w:pStyle w:val="ListBullet"/>
              <w:cnfStyle w:val="000000000000" w:firstRow="0" w:lastRow="0" w:firstColumn="0" w:lastColumn="0" w:oddVBand="0" w:evenVBand="0" w:oddHBand="0" w:evenHBand="0" w:firstRowFirstColumn="0" w:firstRowLastColumn="0" w:lastRowFirstColumn="0" w:lastRowLastColumn="0"/>
            </w:pPr>
            <w:r w:rsidRPr="00A2772C">
              <w:t>Lancashire drives national policy-making</w:t>
            </w:r>
          </w:p>
        </w:tc>
      </w:tr>
    </w:tbl>
    <w:p w:rsidR="001B083F" w:rsidRPr="00A2772C" w:rsidRDefault="00BE7ED1" w:rsidP="00A87EE8">
      <w:pPr>
        <w:pStyle w:val="NormalNumbered"/>
        <w:numPr>
          <w:ilvl w:val="0"/>
          <w:numId w:val="0"/>
        </w:numPr>
        <w:sectPr w:rsidR="001B083F" w:rsidRPr="00A2772C" w:rsidSect="00C366CC">
          <w:type w:val="evenPage"/>
          <w:pgSz w:w="16838" w:h="11906" w:orient="landscape" w:code="9"/>
          <w:pgMar w:top="1135" w:right="1440" w:bottom="709" w:left="1701" w:header="720" w:footer="720" w:gutter="0"/>
          <w:cols w:space="708"/>
          <w:docGrid w:linePitch="360"/>
        </w:sectPr>
      </w:pPr>
    </w:p>
    <w:p w:rsidR="00C366CC" w:rsidRDefault="00BE7ED1" w:rsidP="004B70F5">
      <w:pPr>
        <w:pStyle w:val="Heading1"/>
        <w:framePr w:wrap="notBeside"/>
      </w:pPr>
      <w:bookmarkStart w:id="229" w:name="_Toc508803101"/>
      <w:r>
        <w:lastRenderedPageBreak/>
        <w:t>Leadership and Management of this Innovation Plan</w:t>
      </w:r>
      <w:bookmarkEnd w:id="229"/>
    </w:p>
    <w:p w:rsidR="00AF5A9F" w:rsidRPr="00A2772C" w:rsidRDefault="00BE7ED1" w:rsidP="00AF5A9F">
      <w:pPr>
        <w:pStyle w:val="PullQuote"/>
      </w:pPr>
      <w:bookmarkStart w:id="230" w:name="_Hlk504491229"/>
      <w:r w:rsidRPr="00A2772C">
        <w:t xml:space="preserve">This section sets out the governance </w:t>
      </w:r>
      <w:r w:rsidRPr="00A2772C">
        <w:t>recommendations to drive and monitor progress in</w:t>
      </w:r>
      <w:r>
        <w:t xml:space="preserve"> the</w:t>
      </w:r>
      <w:r w:rsidRPr="00A2772C">
        <w:t xml:space="preserve"> </w:t>
      </w:r>
      <w:r w:rsidRPr="00C366CC">
        <w:rPr>
          <w:noProof/>
        </w:rPr>
        <w:t>delivery</w:t>
      </w:r>
      <w:r w:rsidRPr="00A2772C">
        <w:t xml:space="preserve"> of our Plan.</w:t>
      </w:r>
    </w:p>
    <w:p w:rsidR="00AF5A9F" w:rsidRPr="00A2772C" w:rsidRDefault="00BE7ED1" w:rsidP="00AF5A9F">
      <w:pPr>
        <w:pStyle w:val="NormalNumbered"/>
      </w:pPr>
      <w:r w:rsidRPr="00A2772C">
        <w:t xml:space="preserve">Strong leadership, collaboration, and willingness to deliver change are fundamental to making this Plan a reality. Leaders from across the </w:t>
      </w:r>
      <w:r>
        <w:t>private and public</w:t>
      </w:r>
      <w:r w:rsidRPr="00A2772C">
        <w:t xml:space="preserve"> sectors will need to come together to deliver innovation for Lancashire.</w:t>
      </w:r>
    </w:p>
    <w:p w:rsidR="00AF5A9F" w:rsidRPr="00A2772C" w:rsidRDefault="00BE7ED1" w:rsidP="00AF5A9F">
      <w:pPr>
        <w:pStyle w:val="NormalNumbered"/>
      </w:pPr>
      <w:r w:rsidRPr="00C366CC">
        <w:rPr>
          <w:noProof/>
        </w:rPr>
        <w:t>Innovation</w:t>
      </w:r>
      <w:r>
        <w:rPr>
          <w:noProof/>
        </w:rPr>
        <w:t>,</w:t>
      </w:r>
      <w:r w:rsidRPr="00A2772C">
        <w:t xml:space="preserve"> and this </w:t>
      </w:r>
      <w:r w:rsidRPr="00C366CC">
        <w:rPr>
          <w:noProof/>
        </w:rPr>
        <w:t>Plan</w:t>
      </w:r>
      <w:r w:rsidRPr="00C366CC">
        <w:rPr>
          <w:noProof/>
        </w:rPr>
        <w:t>,</w:t>
      </w:r>
      <w:r w:rsidRPr="00A2772C">
        <w:t xml:space="preserve"> should be at the heart of a local industrial strategy. Utilising </w:t>
      </w:r>
      <w:r>
        <w:t xml:space="preserve">innovation to drive forward our existing sectoral </w:t>
      </w:r>
      <w:r w:rsidRPr="00A2772C">
        <w:t xml:space="preserve">assets and develop new routeways to </w:t>
      </w:r>
      <w:r>
        <w:t>exce</w:t>
      </w:r>
      <w:r>
        <w:t xml:space="preserve">llence </w:t>
      </w:r>
      <w:r w:rsidRPr="00A2772C">
        <w:t>will be key to unlocking Lancashire’s substantial productivity potential.</w:t>
      </w:r>
    </w:p>
    <w:p w:rsidR="00AF5A9F" w:rsidRPr="00A2772C" w:rsidRDefault="00BE7ED1" w:rsidP="00AF5A9F">
      <w:pPr>
        <w:pStyle w:val="NormalNumbered"/>
      </w:pPr>
      <w:r w:rsidRPr="00A2772C">
        <w:t xml:space="preserve">This will require a well governed and </w:t>
      </w:r>
      <w:r>
        <w:t xml:space="preserve">an appropriately </w:t>
      </w:r>
      <w:r w:rsidRPr="00A2772C">
        <w:t>resourced approach to implementation. Making the most of existing resources and re-calibrating these to support the Aims</w:t>
      </w:r>
      <w:r w:rsidRPr="00A2772C">
        <w:t xml:space="preserve"> of this Plan will be vital to its success.</w:t>
      </w:r>
    </w:p>
    <w:p w:rsidR="00AF5A9F" w:rsidRPr="00A2772C" w:rsidRDefault="00BE7ED1" w:rsidP="00AF5A9F">
      <w:pPr>
        <w:pStyle w:val="Heading2"/>
      </w:pPr>
      <w:bookmarkStart w:id="231" w:name="_Toc504563087"/>
      <w:bookmarkStart w:id="232" w:name="_Toc505073286"/>
      <w:bookmarkStart w:id="233" w:name="_Toc505073781"/>
      <w:bookmarkStart w:id="234" w:name="_Toc508803102"/>
      <w:r w:rsidRPr="00A2772C">
        <w:t>Functions and Forms</w:t>
      </w:r>
      <w:bookmarkEnd w:id="231"/>
      <w:bookmarkEnd w:id="232"/>
      <w:bookmarkEnd w:id="233"/>
      <w:bookmarkEnd w:id="234"/>
    </w:p>
    <w:p w:rsidR="00AF5A9F" w:rsidRPr="00A2772C" w:rsidRDefault="00BE7ED1" w:rsidP="00AF5A9F">
      <w:pPr>
        <w:pStyle w:val="NormalNumbered"/>
      </w:pPr>
      <w:r w:rsidRPr="00A2772C">
        <w:t xml:space="preserve">Drafting strategies and plans </w:t>
      </w:r>
      <w:r>
        <w:rPr>
          <w:noProof/>
        </w:rPr>
        <w:t>are</w:t>
      </w:r>
      <w:r w:rsidRPr="00A2772C">
        <w:t xml:space="preserve"> easy; implementing them is hard</w:t>
      </w:r>
      <w:r>
        <w:t xml:space="preserve">. </w:t>
      </w:r>
      <w:r w:rsidRPr="00A2772C">
        <w:t xml:space="preserve">The situation will not be any different in </w:t>
      </w:r>
      <w:r>
        <w:t xml:space="preserve">progressing this Plan in </w:t>
      </w:r>
      <w:r w:rsidRPr="00A2772C">
        <w:t>Lancashire; successful implementation will only come abou</w:t>
      </w:r>
      <w:r w:rsidRPr="00A2772C">
        <w:t>t through drive, commitment, and hard work.</w:t>
      </w:r>
    </w:p>
    <w:p w:rsidR="00AF5A9F" w:rsidRPr="00A2772C" w:rsidRDefault="00BE7ED1" w:rsidP="00AF5A9F">
      <w:pPr>
        <w:pStyle w:val="NormalNumbered"/>
      </w:pPr>
      <w:r w:rsidRPr="00A2772C">
        <w:t>Lancashire does not start from scratch</w:t>
      </w:r>
      <w:r>
        <w:t xml:space="preserve"> as it approaches implementing this Plan</w:t>
      </w:r>
      <w:r w:rsidRPr="00A2772C">
        <w:t>. There is now a wide body of evaluation experience focusing on what makes for economic, efficient, and effective implementation. As P</w:t>
      </w:r>
      <w:r w:rsidRPr="00A2772C">
        <w:t xml:space="preserve">artners take </w:t>
      </w:r>
      <w:r>
        <w:t xml:space="preserve">this </w:t>
      </w:r>
      <w:r w:rsidRPr="00A2772C">
        <w:t xml:space="preserve">Plan forward, these evaluation lessons will give helpful pointers and short-cuts on how to do implementation well. More than any other, clarity on the functions and then the forms of implementation will </w:t>
      </w:r>
      <w:r>
        <w:t xml:space="preserve">be </w:t>
      </w:r>
      <w:r w:rsidRPr="00A2772C">
        <w:t>the most important consideration</w:t>
      </w:r>
      <w:r w:rsidRPr="00A2772C">
        <w:t>.</w:t>
      </w:r>
    </w:p>
    <w:p w:rsidR="00AF5A9F" w:rsidRPr="00A2772C" w:rsidRDefault="00BE7ED1" w:rsidP="00AF5A9F">
      <w:pPr>
        <w:pStyle w:val="NormalNumbered"/>
      </w:pPr>
      <w:r w:rsidRPr="00A2772C">
        <w:t>In function terms, implementation of Lancashire’s Innovation Plan needs to achieve the following:</w:t>
      </w:r>
    </w:p>
    <w:p w:rsidR="00AF5A9F" w:rsidRPr="00A2772C" w:rsidRDefault="00BE7ED1" w:rsidP="00AF5A9F">
      <w:pPr>
        <w:pStyle w:val="ListBullet"/>
      </w:pPr>
      <w:r w:rsidRPr="00A2772C">
        <w:rPr>
          <w:b/>
        </w:rPr>
        <w:t xml:space="preserve">A real understanding of the socio-economic state of </w:t>
      </w:r>
      <w:r>
        <w:rPr>
          <w:b/>
        </w:rPr>
        <w:t xml:space="preserve">innovation and related activity in </w:t>
      </w:r>
      <w:r w:rsidRPr="00A2772C">
        <w:rPr>
          <w:b/>
        </w:rPr>
        <w:t>Lancashire, absolutely and relatively</w:t>
      </w:r>
      <w:r w:rsidRPr="00A2772C">
        <w:t xml:space="preserve">. The evidence assembled during </w:t>
      </w:r>
      <w:r w:rsidRPr="00A2772C">
        <w:t xml:space="preserve">drafting this </w:t>
      </w:r>
      <w:r>
        <w:t xml:space="preserve">Plan </w:t>
      </w:r>
      <w:r w:rsidRPr="00A2772C">
        <w:t>provides a firm foundation to build on, but this will need to be refreshed regularly and, crucially, partners will need to move their focus on from the data numbers to the causes and explanations underlying these. Clarity o</w:t>
      </w:r>
      <w:r>
        <w:t xml:space="preserve">n </w:t>
      </w:r>
      <w:r w:rsidRPr="00A2772C">
        <w:t>who is respo</w:t>
      </w:r>
      <w:r w:rsidRPr="00A2772C">
        <w:t>nsible for providing the data and identifying when new data become</w:t>
      </w:r>
      <w:r>
        <w:t xml:space="preserve"> available </w:t>
      </w:r>
      <w:r w:rsidRPr="00A2772C">
        <w:t>for comparison will be important;</w:t>
      </w:r>
    </w:p>
    <w:p w:rsidR="00AF5A9F" w:rsidRPr="00A2772C" w:rsidRDefault="00BE7ED1" w:rsidP="00AF5A9F">
      <w:pPr>
        <w:pStyle w:val="ListBullet"/>
      </w:pPr>
      <w:r w:rsidRPr="00A2772C">
        <w:rPr>
          <w:b/>
        </w:rPr>
        <w:lastRenderedPageBreak/>
        <w:t>A long-term vision of where Lancashire should, and could, be as an innovation economy.</w:t>
      </w:r>
      <w:r w:rsidRPr="00A2772C">
        <w:t xml:space="preserve"> This is hard to do within the constraints imposed by publi</w:t>
      </w:r>
      <w:r w:rsidRPr="00A2772C">
        <w:t xml:space="preserve">c sector spending </w:t>
      </w:r>
      <w:r>
        <w:t>uncertainty</w:t>
      </w:r>
      <w:r w:rsidRPr="00A2772C">
        <w:t xml:space="preserve">. </w:t>
      </w:r>
      <w:r>
        <w:t xml:space="preserve">This </w:t>
      </w:r>
      <w:r w:rsidRPr="00C366CC">
        <w:rPr>
          <w:noProof/>
        </w:rPr>
        <w:t>said,</w:t>
      </w:r>
      <w:r>
        <w:t xml:space="preserve"> i</w:t>
      </w:r>
      <w:r w:rsidRPr="00A2772C">
        <w:t>t is vital in ensuring</w:t>
      </w:r>
      <w:r>
        <w:t xml:space="preserve"> the</w:t>
      </w:r>
      <w:r w:rsidRPr="00A2772C">
        <w:t xml:space="preserve"> </w:t>
      </w:r>
      <w:r w:rsidRPr="00C366CC">
        <w:rPr>
          <w:noProof/>
        </w:rPr>
        <w:t>stability</w:t>
      </w:r>
      <w:r w:rsidRPr="00A2772C">
        <w:t xml:space="preserve"> of the Plan, despite external changes and uncertainty, that the Vision is understood and kept. It is helpful to identify what levers are </w:t>
      </w:r>
      <w:r w:rsidRPr="00A2772C">
        <w:t>available</w:t>
      </w:r>
      <w:r w:rsidRPr="00A2772C">
        <w:t xml:space="preserve"> and who owns them so that all</w:t>
      </w:r>
      <w:r w:rsidRPr="00A2772C">
        <w:t xml:space="preserve"> parties are clear what may be achievable, rather than allowing subsequent actions to become just a wish list;</w:t>
      </w:r>
    </w:p>
    <w:p w:rsidR="00AF5A9F" w:rsidRPr="00A2772C" w:rsidRDefault="00BE7ED1" w:rsidP="00AF5A9F">
      <w:pPr>
        <w:pStyle w:val="ListBullet"/>
      </w:pPr>
      <w:r w:rsidRPr="00A2772C">
        <w:rPr>
          <w:b/>
        </w:rPr>
        <w:t>Robustness in making the hard choices resulting from our Vision.</w:t>
      </w:r>
      <w:r w:rsidRPr="00A2772C">
        <w:t xml:space="preserve"> Simply put, ‘doing what you’ve always done gives what you’ve always got’. If Lan</w:t>
      </w:r>
      <w:r w:rsidRPr="00A2772C">
        <w:t xml:space="preserve">cashire is going to move ahead as an innovation economy, then those activities underway that are not contributory </w:t>
      </w:r>
      <w:r>
        <w:t xml:space="preserve">must </w:t>
      </w:r>
      <w:r w:rsidRPr="00A2772C">
        <w:t>be left behind</w:t>
      </w:r>
      <w:r>
        <w:t>;</w:t>
      </w:r>
    </w:p>
    <w:p w:rsidR="00AF5A9F" w:rsidRPr="00A2772C" w:rsidRDefault="00BE7ED1" w:rsidP="00AF5A9F">
      <w:pPr>
        <w:pStyle w:val="ListBullet"/>
      </w:pPr>
      <w:r w:rsidRPr="00A2772C">
        <w:rPr>
          <w:b/>
        </w:rPr>
        <w:t>Best of class design, implementation, and delivery of actions to take the Plan forward.</w:t>
      </w:r>
      <w:r w:rsidRPr="00A2772C">
        <w:t xml:space="preserve"> This will require looking way bey</w:t>
      </w:r>
      <w:r w:rsidRPr="00A2772C">
        <w:t>ond Lancashire borders to see how specific innovation and economic challenges have been addressed elsewhere. It may also mean, on occasions, facing up to the fact that delivery capability within Lancashire is not of the calibre or scale needed to tackle th</w:t>
      </w:r>
      <w:r w:rsidRPr="00A2772C">
        <w:t xml:space="preserve">e </w:t>
      </w:r>
      <w:r w:rsidRPr="00A2772C">
        <w:t>challenges</w:t>
      </w:r>
      <w:r w:rsidRPr="00A2772C">
        <w:t xml:space="preserve"> we face, and not being uncomfortable about securing solutions from elsewhere in the UK or further afield;</w:t>
      </w:r>
    </w:p>
    <w:p w:rsidR="00AF5A9F" w:rsidRPr="00A2772C" w:rsidRDefault="00BE7ED1" w:rsidP="00AF5A9F">
      <w:pPr>
        <w:pStyle w:val="ListBullet"/>
      </w:pPr>
      <w:r w:rsidRPr="00A2772C">
        <w:rPr>
          <w:b/>
        </w:rPr>
        <w:t>A real commitment to monitoring and evaluation</w:t>
      </w:r>
      <w:r w:rsidRPr="00A2772C">
        <w:t xml:space="preserve">, so that the relevance </w:t>
      </w:r>
      <w:r>
        <w:t xml:space="preserve">and </w:t>
      </w:r>
      <w:r>
        <w:t>appropriateness</w:t>
      </w:r>
      <w:r>
        <w:t xml:space="preserve"> </w:t>
      </w:r>
      <w:r w:rsidRPr="00A2772C">
        <w:t xml:space="preserve">locally of Plan actions </w:t>
      </w:r>
      <w:r>
        <w:rPr>
          <w:noProof/>
        </w:rPr>
        <w:t>are</w:t>
      </w:r>
      <w:r w:rsidRPr="00A2772C">
        <w:t xml:space="preserve"> constantly reviewed, and delivery impact evidenced and maximised; </w:t>
      </w:r>
    </w:p>
    <w:p w:rsidR="00AF5A9F" w:rsidRPr="00A2772C" w:rsidRDefault="00BE7ED1" w:rsidP="00AF5A9F">
      <w:pPr>
        <w:pStyle w:val="ListBullet"/>
      </w:pPr>
      <w:r w:rsidRPr="00A2772C">
        <w:rPr>
          <w:b/>
        </w:rPr>
        <w:t>The continuing enthusiasm of partners</w:t>
      </w:r>
      <w:r w:rsidRPr="00A2772C">
        <w:t xml:space="preserve">, to ensure that the process of implementation remains consensual and </w:t>
      </w:r>
      <w:r w:rsidRPr="00C366CC">
        <w:rPr>
          <w:noProof/>
        </w:rPr>
        <w:t>inclusive</w:t>
      </w:r>
      <w:r w:rsidRPr="00A2772C">
        <w:t xml:space="preserve"> and that energies and resources are fully captured</w:t>
      </w:r>
      <w:r>
        <w:t xml:space="preserve">. </w:t>
      </w:r>
      <w:r w:rsidRPr="00A2772C">
        <w:t>Clarity of ownershi</w:t>
      </w:r>
      <w:r w:rsidRPr="00A2772C">
        <w:t xml:space="preserve">p of </w:t>
      </w:r>
      <w:r>
        <w:t xml:space="preserve">the </w:t>
      </w:r>
      <w:r w:rsidRPr="00A2772C">
        <w:t xml:space="preserve">actions </w:t>
      </w:r>
      <w:r>
        <w:t xml:space="preserve">proposed by this Plan </w:t>
      </w:r>
      <w:r w:rsidRPr="00A2772C">
        <w:t xml:space="preserve">between partners is particularly </w:t>
      </w:r>
      <w:r>
        <w:t>important</w:t>
      </w:r>
      <w:r w:rsidRPr="00A2772C">
        <w:t>. If there is a clear leader, let them lead</w:t>
      </w:r>
      <w:r>
        <w:t xml:space="preserve">. </w:t>
      </w:r>
      <w:r w:rsidRPr="00A2772C">
        <w:t xml:space="preserve">Where there is a collaborative action, </w:t>
      </w:r>
      <w:r>
        <w:t xml:space="preserve">we will </w:t>
      </w:r>
      <w:r w:rsidRPr="00A2772C">
        <w:t>spell out who will actually be responsible for galvanising activity; and</w:t>
      </w:r>
    </w:p>
    <w:p w:rsidR="00AF5A9F" w:rsidRPr="00A2772C" w:rsidRDefault="00BE7ED1" w:rsidP="00AF5A9F">
      <w:pPr>
        <w:pStyle w:val="ListBullet"/>
      </w:pPr>
      <w:r w:rsidRPr="00A2772C">
        <w:rPr>
          <w:b/>
        </w:rPr>
        <w:t>Consistent</w:t>
      </w:r>
      <w:r w:rsidRPr="00A2772C">
        <w:rPr>
          <w:b/>
        </w:rPr>
        <w:t xml:space="preserve"> and influential presentation of Lancashire’s innovation agenda</w:t>
      </w:r>
      <w:r w:rsidRPr="00A2772C">
        <w:t xml:space="preserve">, as set out in this Plan, in local, regional, national, and international </w:t>
      </w:r>
      <w:r>
        <w:t>for a</w:t>
      </w:r>
      <w:r w:rsidRPr="00A2772C">
        <w:t xml:space="preserve">. </w:t>
      </w:r>
      <w:r>
        <w:t xml:space="preserve">This Plan </w:t>
      </w:r>
      <w:r w:rsidRPr="00A2772C">
        <w:t xml:space="preserve">must become established as the definitive statement of innovation in the County. Developing a common </w:t>
      </w:r>
      <w:r w:rsidRPr="00A2772C">
        <w:t>language or shorthand for the key actions so that everyone recognises them easily can be important to avoid confusion or unhelpful related actions being developed in parallel by partners.</w:t>
      </w:r>
    </w:p>
    <w:p w:rsidR="00AF5A9F" w:rsidRPr="00A2772C" w:rsidRDefault="00BE7ED1" w:rsidP="00AF5A9F">
      <w:pPr>
        <w:pStyle w:val="NormalNumbered"/>
      </w:pPr>
      <w:r w:rsidRPr="00A2772C">
        <w:t xml:space="preserve">Having agreed what the key functions demanded of the Plan are, then </w:t>
      </w:r>
      <w:r w:rsidRPr="00A2772C">
        <w:t>and only then, should attention focus on defining suitable forms by which these functions can be delivered. All too often, albeit with best intention</w:t>
      </w:r>
      <w:r>
        <w:t>s</w:t>
      </w:r>
      <w:r w:rsidRPr="00A2772C">
        <w:t>, forms for implementation are agreed before functions have been properly specified. Defining the form tha</w:t>
      </w:r>
      <w:r w:rsidRPr="00A2772C">
        <w:t>t implementation should take is a matter for local Partners. Again, however, any form will through its structure need to embody the following:</w:t>
      </w:r>
    </w:p>
    <w:p w:rsidR="00AF5A9F" w:rsidRPr="00A2772C" w:rsidRDefault="00BE7ED1" w:rsidP="00AF5A9F">
      <w:pPr>
        <w:pStyle w:val="ListBullet"/>
      </w:pPr>
      <w:r w:rsidRPr="00A2772C">
        <w:rPr>
          <w:b/>
        </w:rPr>
        <w:t>Legitimacy from, and accountability to, the businesses, people, and communities of Lancashire.</w:t>
      </w:r>
      <w:r w:rsidRPr="00A2772C">
        <w:t xml:space="preserve"> Typically, this is realised through a wide partnership group, and in a </w:t>
      </w:r>
      <w:r w:rsidRPr="00C366CC">
        <w:rPr>
          <w:noProof/>
        </w:rPr>
        <w:t>Lancashire</w:t>
      </w:r>
      <w:r w:rsidRPr="00A2772C">
        <w:t xml:space="preserve"> context</w:t>
      </w:r>
      <w:r>
        <w:t xml:space="preserve"> that</w:t>
      </w:r>
      <w:r w:rsidRPr="00A2772C">
        <w:t xml:space="preserve"> w</w:t>
      </w:r>
      <w:r>
        <w:t xml:space="preserve">ill </w:t>
      </w:r>
      <w:r w:rsidRPr="00A2772C">
        <w:t>be designed to ensure ownership of, and support for, the Plan from the totality of partners in the</w:t>
      </w:r>
      <w:r>
        <w:t xml:space="preserve"> County;</w:t>
      </w:r>
    </w:p>
    <w:p w:rsidR="00AF5A9F" w:rsidRPr="00A2772C" w:rsidRDefault="00BE7ED1" w:rsidP="00AF5A9F">
      <w:pPr>
        <w:pStyle w:val="ListBullet"/>
      </w:pPr>
      <w:r w:rsidRPr="00A2772C">
        <w:rPr>
          <w:b/>
        </w:rPr>
        <w:t>Strategic Leadership capable of charting the lon</w:t>
      </w:r>
      <w:r w:rsidRPr="00A2772C">
        <w:rPr>
          <w:b/>
        </w:rPr>
        <w:t>g-term path for the Plan’s direction and implementation.</w:t>
      </w:r>
      <w:r w:rsidRPr="00A2772C">
        <w:t xml:space="preserve"> This group w</w:t>
      </w:r>
      <w:r>
        <w:t xml:space="preserve">ill </w:t>
      </w:r>
      <w:r w:rsidRPr="00A2772C">
        <w:t>be responsible for the overall strategic direction of the Plan, and for championing Lancashire and its innovation priorities to key audiences.</w:t>
      </w:r>
      <w:r>
        <w:t xml:space="preserve"> This Plan’s recommendation is that a new</w:t>
      </w:r>
      <w:r>
        <w:t xml:space="preserve"> Innovation Board is established to provide this leadership, bringing together </w:t>
      </w:r>
      <w:r w:rsidRPr="00A2772C">
        <w:t xml:space="preserve">individuals with a well-developed understanding of innovation, and strong familiarity with the wider sub-regional, </w:t>
      </w:r>
      <w:r>
        <w:t xml:space="preserve">sub-national, </w:t>
      </w:r>
      <w:r w:rsidRPr="00A2772C">
        <w:t xml:space="preserve">and national </w:t>
      </w:r>
      <w:r w:rsidRPr="00A2772C">
        <w:lastRenderedPageBreak/>
        <w:t>policy contexts</w:t>
      </w:r>
      <w:r>
        <w:t xml:space="preserve">. </w:t>
      </w:r>
      <w:r>
        <w:t>The emphasis on me</w:t>
      </w:r>
      <w:r>
        <w:t>mbership of this new sub-board should be</w:t>
      </w:r>
      <w:r>
        <w:t xml:space="preserve"> the</w:t>
      </w:r>
      <w:r>
        <w:t xml:space="preserve"> </w:t>
      </w:r>
      <w:r w:rsidRPr="00C366CC">
        <w:rPr>
          <w:noProof/>
        </w:rPr>
        <w:t>calibre</w:t>
      </w:r>
      <w:r>
        <w:t xml:space="preserve"> of thinking and experience, not representation;</w:t>
      </w:r>
    </w:p>
    <w:p w:rsidR="00AF5A9F" w:rsidRPr="00A2772C" w:rsidRDefault="00BE7ED1" w:rsidP="00AF5A9F">
      <w:pPr>
        <w:pStyle w:val="ListBullet"/>
      </w:pPr>
      <w:r w:rsidRPr="00A2772C">
        <w:rPr>
          <w:b/>
        </w:rPr>
        <w:t xml:space="preserve">An Operational Executive, which </w:t>
      </w:r>
      <w:r>
        <w:rPr>
          <w:b/>
        </w:rPr>
        <w:t xml:space="preserve">has </w:t>
      </w:r>
      <w:r w:rsidRPr="00A2772C">
        <w:rPr>
          <w:b/>
        </w:rPr>
        <w:t xml:space="preserve">principal responsibility for overseeing, </w:t>
      </w:r>
      <w:r w:rsidRPr="00C366CC">
        <w:rPr>
          <w:b/>
          <w:noProof/>
        </w:rPr>
        <w:t>coordinating</w:t>
      </w:r>
      <w:r w:rsidRPr="00A2772C">
        <w:rPr>
          <w:b/>
        </w:rPr>
        <w:t xml:space="preserve">, and shaping the practical delivery of </w:t>
      </w:r>
      <w:r>
        <w:rPr>
          <w:b/>
        </w:rPr>
        <w:t xml:space="preserve">this </w:t>
      </w:r>
      <w:r w:rsidRPr="00A2772C">
        <w:rPr>
          <w:b/>
        </w:rPr>
        <w:t>Plan,</w:t>
      </w:r>
      <w:r w:rsidRPr="00A2772C">
        <w:t xml:space="preserve"> and leading its</w:t>
      </w:r>
      <w:r w:rsidRPr="00A2772C">
        <w:t xml:space="preserve"> monitoring and evaluation. It w</w:t>
      </w:r>
      <w:r>
        <w:t xml:space="preserve">ill </w:t>
      </w:r>
      <w:r w:rsidRPr="00A2772C">
        <w:t>not directly deliver the</w:t>
      </w:r>
      <w:r>
        <w:t xml:space="preserve"> </w:t>
      </w:r>
      <w:r w:rsidRPr="00C366CC">
        <w:rPr>
          <w:noProof/>
        </w:rPr>
        <w:t>Plan</w:t>
      </w:r>
      <w:r w:rsidRPr="00A2772C">
        <w:t xml:space="preserve"> but w</w:t>
      </w:r>
      <w:r>
        <w:t xml:space="preserve">ould </w:t>
      </w:r>
      <w:r w:rsidRPr="00A2772C">
        <w:t xml:space="preserve">work closely with those partner agencies </w:t>
      </w:r>
      <w:r>
        <w:t xml:space="preserve">capable of </w:t>
      </w:r>
      <w:r w:rsidRPr="00A2772C">
        <w:t>progressing actions, providing them with resources, support, and encouragement. The Operational Executive w</w:t>
      </w:r>
      <w:r>
        <w:t xml:space="preserve">ill </w:t>
      </w:r>
      <w:r w:rsidRPr="00A2772C">
        <w:t xml:space="preserve">have a crucial </w:t>
      </w:r>
      <w:r w:rsidRPr="00A2772C">
        <w:t>role in looking across delivery to make sure the various structural elements of the Plan are coherent</w:t>
      </w:r>
      <w:r>
        <w:t xml:space="preserve"> and aligned</w:t>
      </w:r>
      <w:r w:rsidRPr="00A2772C">
        <w:t>; it w</w:t>
      </w:r>
      <w:r>
        <w:t xml:space="preserve">ill </w:t>
      </w:r>
      <w:r w:rsidRPr="00A2772C">
        <w:t xml:space="preserve">also provide the administrative and </w:t>
      </w:r>
      <w:r w:rsidRPr="00C366CC">
        <w:rPr>
          <w:noProof/>
        </w:rPr>
        <w:t>secretariat</w:t>
      </w:r>
      <w:r w:rsidRPr="00A2772C">
        <w:t xml:space="preserve"> requirements of the wider partnership; and</w:t>
      </w:r>
    </w:p>
    <w:p w:rsidR="00AF5A9F" w:rsidRPr="00A2772C" w:rsidRDefault="00BE7ED1" w:rsidP="00AF5A9F">
      <w:pPr>
        <w:pStyle w:val="ListBullet"/>
      </w:pPr>
      <w:r w:rsidRPr="00A2772C">
        <w:rPr>
          <w:b/>
        </w:rPr>
        <w:t>A Delivery Infrastructure, responsible for</w:t>
      </w:r>
      <w:r w:rsidRPr="00A2772C">
        <w:rPr>
          <w:b/>
        </w:rPr>
        <w:t xml:space="preserve"> taking forward those actions defined by th</w:t>
      </w:r>
      <w:r>
        <w:rPr>
          <w:b/>
        </w:rPr>
        <w:t>is Plan</w:t>
      </w:r>
      <w:r w:rsidRPr="00A2772C">
        <w:rPr>
          <w:b/>
        </w:rPr>
        <w:t>.</w:t>
      </w:r>
      <w:r w:rsidRPr="00A2772C">
        <w:t xml:space="preserve"> As far as possible, these actions w</w:t>
      </w:r>
      <w:r>
        <w:t xml:space="preserve">ill </w:t>
      </w:r>
      <w:r w:rsidRPr="00A2772C">
        <w:t>be delivered through the range of existing delivery bodies</w:t>
      </w:r>
      <w:r>
        <w:t xml:space="preserve"> active in Lancashire. Some of these will be based within the County, others outside but with activities on</w:t>
      </w:r>
      <w:r>
        <w:t xml:space="preserve"> the ground</w:t>
      </w:r>
      <w:r w:rsidRPr="00A2772C">
        <w:t xml:space="preserve">. As mentioned earlier, it </w:t>
      </w:r>
      <w:r>
        <w:t xml:space="preserve">will be important </w:t>
      </w:r>
      <w:r w:rsidRPr="00A2772C">
        <w:t>for all partners to be clear about prioritisation</w:t>
      </w:r>
      <w:r>
        <w:t xml:space="preserve"> and sequencing - s</w:t>
      </w:r>
      <w:r w:rsidRPr="00A2772C">
        <w:t xml:space="preserve">ome </w:t>
      </w:r>
      <w:r>
        <w:t xml:space="preserve">‘quick-win’ </w:t>
      </w:r>
      <w:r w:rsidRPr="00A2772C">
        <w:t xml:space="preserve">actions will be pragmatic and achievable quickly, </w:t>
      </w:r>
      <w:r>
        <w:t xml:space="preserve">others </w:t>
      </w:r>
      <w:r w:rsidRPr="00A2772C">
        <w:t xml:space="preserve">will be </w:t>
      </w:r>
      <w:r>
        <w:t xml:space="preserve">more </w:t>
      </w:r>
      <w:r w:rsidRPr="00A2772C">
        <w:t xml:space="preserve">challenging </w:t>
      </w:r>
      <w:r>
        <w:t xml:space="preserve">and will only start to bear fruit </w:t>
      </w:r>
      <w:r>
        <w:t>in two or three years, and others (around culture and thinking) will be generational.</w:t>
      </w:r>
    </w:p>
    <w:p w:rsidR="00AF5A9F" w:rsidRPr="00A2772C" w:rsidRDefault="00BE7ED1" w:rsidP="00AF5A9F">
      <w:pPr>
        <w:pStyle w:val="Heading2"/>
      </w:pPr>
      <w:bookmarkStart w:id="235" w:name="_Toc504563088"/>
      <w:bookmarkStart w:id="236" w:name="_Toc505073287"/>
      <w:bookmarkStart w:id="237" w:name="_Toc505073782"/>
      <w:bookmarkStart w:id="238" w:name="_Toc508803103"/>
      <w:r w:rsidRPr="00A2772C">
        <w:t>A proposed governance model</w:t>
      </w:r>
      <w:r>
        <w:t xml:space="preserve"> for this Plan</w:t>
      </w:r>
      <w:bookmarkEnd w:id="235"/>
      <w:bookmarkEnd w:id="236"/>
      <w:bookmarkEnd w:id="237"/>
      <w:bookmarkEnd w:id="238"/>
    </w:p>
    <w:p w:rsidR="00AF5A9F" w:rsidRPr="00A2772C" w:rsidRDefault="00BE7ED1" w:rsidP="00AF5A9F">
      <w:pPr>
        <w:pStyle w:val="NormalNumbered"/>
      </w:pPr>
      <w:r w:rsidRPr="00A2772C">
        <w:t xml:space="preserve">In terms of Governance, we recommend the creation of an Innovation Board, </w:t>
      </w:r>
      <w:r w:rsidRPr="00C366CC">
        <w:rPr>
          <w:noProof/>
        </w:rPr>
        <w:t>who</w:t>
      </w:r>
      <w:r>
        <w:rPr>
          <w:noProof/>
        </w:rPr>
        <w:t>se</w:t>
      </w:r>
      <w:r w:rsidRPr="00A2772C">
        <w:t xml:space="preserve"> remit will be to </w:t>
      </w:r>
      <w:r>
        <w:t>oversee the delivery of this pl</w:t>
      </w:r>
      <w:r>
        <w:t>an and ensure its accountability</w:t>
      </w:r>
      <w:r w:rsidRPr="00A2772C">
        <w:t>. This</w:t>
      </w:r>
      <w:r>
        <w:t xml:space="preserve"> (sub) board </w:t>
      </w:r>
      <w:r w:rsidRPr="00A2772C">
        <w:t xml:space="preserve">will sit beneath the LEP </w:t>
      </w:r>
      <w:r>
        <w:t xml:space="preserve">(main) </w:t>
      </w:r>
      <w:r w:rsidRPr="00A2772C">
        <w:t xml:space="preserve">Board </w:t>
      </w:r>
      <w:r>
        <w:t xml:space="preserve">and </w:t>
      </w:r>
      <w:r w:rsidRPr="00C366CC">
        <w:rPr>
          <w:noProof/>
        </w:rPr>
        <w:t>interact</w:t>
      </w:r>
      <w:r>
        <w:t xml:space="preserve"> with delivery actors as summarised below</w:t>
      </w:r>
      <w:r w:rsidRPr="00A2772C">
        <w:t>:</w:t>
      </w:r>
    </w:p>
    <w:p w:rsidR="00AF5A9F" w:rsidRPr="00A2772C" w:rsidRDefault="00BE7ED1" w:rsidP="00AF5A9F">
      <w:pPr>
        <w:pStyle w:val="Caption"/>
      </w:pPr>
      <w:bookmarkStart w:id="239" w:name="_Toc508803165"/>
      <w:r w:rsidRPr="00A2772C">
        <w:t xml:space="preserve">Figure </w:t>
      </w:r>
      <w:r>
        <w:fldChar w:fldCharType="begin"/>
      </w:r>
      <w:r>
        <w:instrText xml:space="preserve"> SEQ Figure \* ARABIC </w:instrText>
      </w:r>
      <w:r>
        <w:fldChar w:fldCharType="separate"/>
      </w:r>
      <w:r>
        <w:rPr>
          <w:noProof/>
        </w:rPr>
        <w:t>7</w:t>
      </w:r>
      <w:r>
        <w:rPr>
          <w:noProof/>
        </w:rPr>
        <w:fldChar w:fldCharType="end"/>
      </w:r>
      <w:r w:rsidRPr="00A2772C">
        <w:t xml:space="preserve"> – Proposed Governance Model</w:t>
      </w:r>
      <w:bookmarkEnd w:id="239"/>
    </w:p>
    <w:p w:rsidR="00AF5A9F" w:rsidRPr="00A2772C" w:rsidRDefault="00BE7ED1" w:rsidP="00AF5A9F">
      <w:pPr>
        <w:pStyle w:val="NormalNumbered"/>
        <w:numPr>
          <w:ilvl w:val="0"/>
          <w:numId w:val="0"/>
        </w:numPr>
      </w:pPr>
      <w:r>
        <w:rPr>
          <w:noProof/>
          <w:lang w:eastAsia="en-GB"/>
        </w:rPr>
        <w:drawing>
          <wp:inline distT="0" distB="0" distL="0" distR="0">
            <wp:extent cx="5385435" cy="404812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17388" name=""/>
                    <pic:cNvPicPr/>
                  </pic:nvPicPr>
                  <pic:blipFill>
                    <a:blip r:embed="rId42"/>
                    <a:stretch>
                      <a:fillRect/>
                    </a:stretch>
                  </pic:blipFill>
                  <pic:spPr>
                    <a:xfrm>
                      <a:off x="0" y="0"/>
                      <a:ext cx="5385435" cy="4048125"/>
                    </a:xfrm>
                    <a:prstGeom prst="rect">
                      <a:avLst/>
                    </a:prstGeom>
                  </pic:spPr>
                </pic:pic>
              </a:graphicData>
            </a:graphic>
          </wp:inline>
        </w:drawing>
      </w:r>
    </w:p>
    <w:p w:rsidR="00C366CC" w:rsidRPr="00A2772C" w:rsidRDefault="00BE7ED1" w:rsidP="00C366CC">
      <w:pPr>
        <w:pStyle w:val="Source"/>
      </w:pPr>
      <w:r w:rsidRPr="00865EF8">
        <w:t xml:space="preserve">Source: </w:t>
      </w:r>
      <w:r w:rsidRPr="00865EF8">
        <w:t>SDG-Economic Development</w:t>
      </w:r>
    </w:p>
    <w:p w:rsidR="00AF5A9F" w:rsidRPr="00A2772C" w:rsidRDefault="00BE7ED1" w:rsidP="002F53FD">
      <w:pPr>
        <w:pStyle w:val="NormalNumbered"/>
      </w:pPr>
      <w:r w:rsidRPr="00A2772C">
        <w:lastRenderedPageBreak/>
        <w:t xml:space="preserve">The Innovation </w:t>
      </w:r>
      <w:r w:rsidRPr="00A2772C">
        <w:t>Bo</w:t>
      </w:r>
      <w:r>
        <w:t xml:space="preserve">ard will be private </w:t>
      </w:r>
      <w:r w:rsidRPr="00C366CC">
        <w:rPr>
          <w:noProof/>
        </w:rPr>
        <w:t>sector-led</w:t>
      </w:r>
      <w:r>
        <w:t xml:space="preserve"> and be made up</w:t>
      </w:r>
      <w:r>
        <w:t xml:space="preserve"> of senior leaders who can</w:t>
      </w:r>
      <w:r>
        <w:t xml:space="preserve"> </w:t>
      </w:r>
      <w:r>
        <w:t>think open</w:t>
      </w:r>
      <w:r w:rsidRPr="002F53FD">
        <w:t>ly and fr</w:t>
      </w:r>
      <w:r>
        <w:t xml:space="preserve">eshly about innovation issues. </w:t>
      </w:r>
      <w:r w:rsidRPr="00A2772C">
        <w:t xml:space="preserve">The Board will sit underneath and report to the LEP Board. An Innovation Director will be appointed to </w:t>
      </w:r>
      <w:r w:rsidRPr="00C366CC">
        <w:rPr>
          <w:noProof/>
        </w:rPr>
        <w:t>coordinate</w:t>
      </w:r>
      <w:r w:rsidRPr="00A2772C">
        <w:t xml:space="preserve"> and lead the operational delivery of the Innovation Plan and will report </w:t>
      </w:r>
      <w:r w:rsidRPr="00C366CC">
        <w:rPr>
          <w:noProof/>
        </w:rPr>
        <w:t>to</w:t>
      </w:r>
      <w:r w:rsidRPr="00A2772C">
        <w:t xml:space="preserve"> the Innovation Board.</w:t>
      </w:r>
    </w:p>
    <w:p w:rsidR="00AF5A9F" w:rsidRPr="00A2772C" w:rsidRDefault="00BE7ED1" w:rsidP="00A66B82">
      <w:pPr>
        <w:pStyle w:val="NormalNumbered"/>
      </w:pPr>
      <w:r w:rsidRPr="00A2772C">
        <w:t>The Innovation Board will integrate with and complement existing Innovation/LEP governance structures. This includes the emerging Lancashire HEI Innovation F</w:t>
      </w:r>
      <w:r w:rsidRPr="00A2772C">
        <w:t xml:space="preserve">orum being </w:t>
      </w:r>
      <w:r>
        <w:t xml:space="preserve">championed </w:t>
      </w:r>
      <w:r w:rsidRPr="00A2772C">
        <w:t>by the County’s HEIs</w:t>
      </w:r>
      <w:r>
        <w:t>, and the dedicated post that HE partners are funding to progress innovation within and across the County</w:t>
      </w:r>
    </w:p>
    <w:p w:rsidR="00AF5A9F" w:rsidRPr="00A2772C" w:rsidRDefault="00BE7ED1" w:rsidP="00392AD1">
      <w:pPr>
        <w:pStyle w:val="Heading2"/>
      </w:pPr>
      <w:bookmarkStart w:id="240" w:name="_Toc504563089"/>
      <w:bookmarkStart w:id="241" w:name="_Toc505073288"/>
      <w:bookmarkStart w:id="242" w:name="_Toc505073783"/>
      <w:bookmarkStart w:id="243" w:name="_Toc508803104"/>
      <w:r w:rsidRPr="00A2772C">
        <w:t>Next Steps</w:t>
      </w:r>
      <w:bookmarkEnd w:id="240"/>
      <w:bookmarkEnd w:id="241"/>
      <w:bookmarkEnd w:id="242"/>
      <w:bookmarkEnd w:id="243"/>
    </w:p>
    <w:p w:rsidR="00AF5A9F" w:rsidRPr="00A2772C" w:rsidRDefault="00BE7ED1" w:rsidP="00AF5A9F">
      <w:pPr>
        <w:pStyle w:val="NormalNumbered"/>
      </w:pPr>
      <w:r w:rsidRPr="00A2772C">
        <w:t xml:space="preserve">As this Plan has shown, Lancashire has significant innovation assets in key sectors, as well as </w:t>
      </w:r>
      <w:r>
        <w:t>t</w:t>
      </w:r>
      <w:r>
        <w:t xml:space="preserve">he potential for </w:t>
      </w:r>
      <w:r w:rsidRPr="00A2772C">
        <w:t>developing strengths in emerging sectors. These are the foundations of a bright innovation</w:t>
      </w:r>
      <w:r>
        <w:t xml:space="preserve">-driven </w:t>
      </w:r>
      <w:r w:rsidRPr="00A2772C">
        <w:t xml:space="preserve">future for Lancashire, providing a multitude of opportunities for growing and strengthening the local economy. </w:t>
      </w:r>
    </w:p>
    <w:p w:rsidR="00AF5A9F" w:rsidRDefault="00BE7ED1" w:rsidP="00AF5A9F">
      <w:pPr>
        <w:pStyle w:val="NormalNumbered"/>
      </w:pPr>
      <w:r w:rsidRPr="00A2772C">
        <w:t>Implementation of this Plan i</w:t>
      </w:r>
      <w:r w:rsidRPr="00A2772C">
        <w:t xml:space="preserve">s vital to the </w:t>
      </w:r>
      <w:r>
        <w:t xml:space="preserve">growing the </w:t>
      </w:r>
      <w:r w:rsidRPr="00A2772C">
        <w:t xml:space="preserve">productivity of Lancashire, the North West, the </w:t>
      </w:r>
      <w:r>
        <w:t xml:space="preserve">wider </w:t>
      </w:r>
      <w:r w:rsidRPr="00A2772C">
        <w:t>Northern Powerhouse</w:t>
      </w:r>
      <w:r>
        <w:t>, and ultimately the national economy</w:t>
      </w:r>
      <w:r w:rsidRPr="00A2772C">
        <w:t xml:space="preserve">. Lancashire’s </w:t>
      </w:r>
      <w:r>
        <w:t xml:space="preserve">existing innovation </w:t>
      </w:r>
      <w:r w:rsidRPr="00A2772C">
        <w:t>assets are key component</w:t>
      </w:r>
      <w:r>
        <w:t>s</w:t>
      </w:r>
      <w:r w:rsidRPr="00A2772C">
        <w:t xml:space="preserve"> </w:t>
      </w:r>
      <w:r>
        <w:t xml:space="preserve">for </w:t>
      </w:r>
      <w:r w:rsidRPr="00A2772C">
        <w:t>unlocking the productivity of the North</w:t>
      </w:r>
      <w:r>
        <w:t>, and with focu</w:t>
      </w:r>
      <w:r>
        <w:t xml:space="preserve">s and </w:t>
      </w:r>
      <w:r w:rsidRPr="00C366CC">
        <w:rPr>
          <w:noProof/>
        </w:rPr>
        <w:t>determination</w:t>
      </w:r>
      <w:r>
        <w:rPr>
          <w:noProof/>
        </w:rPr>
        <w:t>,</w:t>
      </w:r>
      <w:r>
        <w:t xml:space="preserve"> we can do more</w:t>
      </w:r>
      <w:r>
        <w:t xml:space="preserve">. </w:t>
      </w:r>
      <w:r>
        <w:t>Be it in terms of place, understanding our drivers, and recognising our foundations, through this Plan we can make a real contribution to industrial strategy.</w:t>
      </w:r>
    </w:p>
    <w:p w:rsidR="00AF5A9F" w:rsidRDefault="00BE7ED1" w:rsidP="00AF5A9F">
      <w:pPr>
        <w:pStyle w:val="NormalNumbered"/>
      </w:pPr>
      <w:r>
        <w:t xml:space="preserve">Now, it </w:t>
      </w:r>
      <w:r w:rsidRPr="00A2772C">
        <w:t>is over to you to implement this Plan. With your dri</w:t>
      </w:r>
      <w:r w:rsidRPr="00A2772C">
        <w:t>ve, collaborative spirit, and innovative thinking, Lancashire can become the place for innovative ideas and adoption. Lancashire can a centre for innovation, known not just across the North or the UK, but globally. This Plan comes at a turning point in the</w:t>
      </w:r>
      <w:r w:rsidRPr="00A2772C">
        <w:t xml:space="preserve"> UK’s economic relationship with the rest of world, and Lancashire can be at the forefront of innovation, creating solutions to global problems and being a driver of UK productivity</w:t>
      </w:r>
      <w:r>
        <w:t>.</w:t>
      </w:r>
    </w:p>
    <w:p w:rsidR="00AE28E3" w:rsidRDefault="00BE7ED1" w:rsidP="00AE28E3">
      <w:pPr>
        <w:pStyle w:val="Heading3"/>
        <w:sectPr w:rsidR="00AE28E3" w:rsidSect="001D723A">
          <w:pgSz w:w="11906" w:h="16838" w:code="9"/>
          <w:pgMar w:top="1440" w:right="1418" w:bottom="1701" w:left="2007" w:header="720" w:footer="720" w:gutter="0"/>
          <w:cols w:space="708"/>
          <w:docGrid w:linePitch="360"/>
        </w:sectPr>
      </w:pPr>
    </w:p>
    <w:p w:rsidR="00AE28E3" w:rsidRDefault="00BE7ED1" w:rsidP="0074708B">
      <w:pPr>
        <w:pStyle w:val="Heading7"/>
        <w:framePr w:h="1512" w:hRule="exact" w:wrap="notBeside"/>
      </w:pPr>
      <w:r w:rsidRPr="004B70F5">
        <w:lastRenderedPageBreak/>
        <w:t>Lancashire’s</w:t>
      </w:r>
      <w:r>
        <w:t xml:space="preserve"> Innovation </w:t>
      </w:r>
      <w:r w:rsidRPr="004202BD">
        <w:t>Asset</w:t>
      </w:r>
      <w:r>
        <w:t xml:space="preserve">s </w:t>
      </w:r>
      <w:r>
        <w:t>–</w:t>
      </w:r>
      <w:r>
        <w:t xml:space="preserve"> Listing</w:t>
      </w:r>
      <w:r>
        <w:t xml:space="preserve"> (non-exhaus</w:t>
      </w:r>
      <w:r>
        <w:t>tive)</w:t>
      </w:r>
    </w:p>
    <w:tbl>
      <w:tblPr>
        <w:tblStyle w:val="SDGTableDefault"/>
        <w:tblW w:w="0" w:type="auto"/>
        <w:tblLook w:val="04A0" w:firstRow="1" w:lastRow="0" w:firstColumn="1" w:lastColumn="0" w:noHBand="0" w:noVBand="1"/>
      </w:tblPr>
      <w:tblGrid>
        <w:gridCol w:w="1356"/>
        <w:gridCol w:w="1312"/>
        <w:gridCol w:w="981"/>
        <w:gridCol w:w="811"/>
        <w:gridCol w:w="1694"/>
        <w:gridCol w:w="904"/>
        <w:gridCol w:w="2282"/>
        <w:gridCol w:w="1383"/>
        <w:gridCol w:w="1919"/>
        <w:gridCol w:w="1055"/>
      </w:tblGrid>
      <w:tr w:rsidR="00351F99" w:rsidTr="00351F9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widowControl w:val="0"/>
            </w:pPr>
            <w:r w:rsidRPr="00A66B82">
              <w:t>Organisation Name</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Asset Name</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Asset Type</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Asset Status</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Location</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Postcode</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Background</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Sector</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Service Offer</w:t>
            </w:r>
          </w:p>
        </w:tc>
        <w:tc>
          <w:tcPr>
            <w:tcW w:w="0" w:type="auto"/>
            <w:hideMark/>
          </w:tcPr>
          <w:p w:rsidR="00C04E50" w:rsidRPr="00A66B82" w:rsidRDefault="00BE7ED1" w:rsidP="0074708B">
            <w:pPr>
              <w:widowControl w:val="0"/>
              <w:cnfStyle w:val="100000000000" w:firstRow="1" w:lastRow="0" w:firstColumn="0" w:lastColumn="0" w:oddVBand="0" w:evenVBand="0" w:oddHBand="0" w:evenHBand="0" w:firstRowFirstColumn="0" w:firstRowLastColumn="0" w:lastRowFirstColumn="0" w:lastRowLastColumn="0"/>
            </w:pPr>
            <w:r w:rsidRPr="00A66B82">
              <w:t>Age</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Accrington and Rossendale College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Lancashire Centre for Excellence for Digital Technology and Innovation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Accrington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BB5 2AW</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The Centre is a partnership project between Accrington and Rossendale College, Risual Education Ltd and Microsoft, providing a state-of-the-art learning space equipped with the latest Microsoft technologies.</w:t>
            </w:r>
            <w:r w:rsidRPr="00A66B82">
              <w:br/>
              <w:t xml:space="preserve">It will enhance teaching and </w:t>
            </w:r>
            <w:r w:rsidRPr="00A66B82">
              <w:t>learning and enable students to develop the digital literacy skills they need to be effective citizens and members of the workforce.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Digital</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Education// Skills Development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2017</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contextualSpacing/>
            </w:pPr>
            <w:r w:rsidRPr="00A66B82">
              <w:t>Asahi Glass Chemicals</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Asahi Glass Chemicals</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Thornton-Cleveleys</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FY5 4QD</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One of the world’s leading producers of fluorochemicals and fluoro chemical materials. The UK site at Thornton-Cleveleys, which produces fluoropolymers such as polytetrafluroethylene (PTFE), is the largest that the company operat</w:t>
            </w:r>
            <w:r w:rsidRPr="00A66B82">
              <w:t>es outside Japan.</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Construction</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Chemical Manufacturer</w:t>
            </w:r>
          </w:p>
        </w:tc>
        <w:tc>
          <w:tcPr>
            <w:tcW w:w="0" w:type="auto"/>
            <w:hideMark/>
          </w:tcPr>
          <w:p w:rsidR="00C04E50" w:rsidRPr="00A66B82" w:rsidRDefault="00BE7ED1" w:rsidP="0074708B">
            <w:pPr>
              <w:pStyle w:val="SDPTabhletext"/>
              <w:contextualSpacing/>
              <w:cnfStyle w:val="000000000000" w:firstRow="0" w:lastRow="0" w:firstColumn="0" w:lastColumn="0" w:oddVBand="0" w:evenVBand="0" w:oddHBand="0" w:evenHBand="0" w:firstRowFirstColumn="0" w:firstRowLastColumn="0" w:lastRowFirstColumn="0" w:lastRowLastColumn="0"/>
            </w:pPr>
            <w:r w:rsidRPr="00A66B82">
              <w:t>1999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BAE Systems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Samlesbury Aerodrome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Balderstone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BB2 7LF</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Samlesbury Aerodrome is a disused airfield at Balderstone near Samlesbury. The aerodrome is owned by defence</w:t>
            </w:r>
            <w:r w:rsidRPr="00A66B82">
              <w:t xml:space="preserve"> company BAE Systems </w:t>
            </w:r>
            <w:r w:rsidRPr="00A66B82">
              <w:lastRenderedPageBreak/>
              <w:t>which uses the site for manufacturing of several aircraft types. The aerodrome is part of Lancashire Enterprise Zone.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Aerospace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2012 onwards</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BAE Systems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Warton Aerodrome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Preston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PR4 1</w:t>
            </w:r>
            <w:r w:rsidRPr="00A66B82">
              <w:t>AX</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Warton Aerodrome </w:t>
            </w:r>
            <w:r w:rsidRPr="00A66B82">
              <w:t>is in</w:t>
            </w:r>
            <w:r w:rsidRPr="00A66B82">
              <w:t xml:space="preserve"> Warton village on the Fylde in Lancashire, England. The airfield is a major assembly and testing facility of BAE Systems Military Air &amp; Information. It is also part of Lancashire Enterprise Zone.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Aerospace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w:t>
            </w:r>
            <w:r w:rsidRPr="00A66B82">
              <w:t>012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BAE Systems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BAE Systems’ Training Academy (Academy for Skills and Knowledge)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Skills &amp; Training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Balderstone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BB2 7LF</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The Academy for Skills &amp; Knowledge (ASK) is 7,400m</w:t>
            </w:r>
            <w:r w:rsidRPr="0074708B">
              <w:rPr>
                <w:vertAlign w:val="superscript"/>
              </w:rPr>
              <w:t>2</w:t>
            </w:r>
            <w:r w:rsidRPr="00A66B82">
              <w:t xml:space="preserve"> in size and situated on the Samlesbury Aerospace Enterprise Zone alongside BAE Systems’ military aircraft advanced manufacturing centre. It will train all the apprentices and graduates in the Company’s military aircraft business as well as providing life-</w:t>
            </w:r>
            <w:r w:rsidRPr="00A66B82">
              <w:t xml:space="preserve">long learning and skills development activities for 13,000 employees for at least the next four decades. The ASK will also act as a collaborative skills-hub for the North West’s engineering and manufacturing sector and offer an exciting learning education </w:t>
            </w:r>
            <w:r w:rsidRPr="00A66B82">
              <w:t>centre for school children from five to 14 years old.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Aerospace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Education/ Skills Development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Opened December 2016</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lastRenderedPageBreak/>
              <w:t xml:space="preserve">Blackburn &amp; Darwen Borough Council; the Lancashire LEP; and The Arts Council England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Making Rooms - Lancashire's First Fab Lab</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Growth Deal </w:t>
            </w:r>
            <w:r w:rsidRPr="00A66B82">
              <w:t>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Blackburn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BB1 7JN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The Making Rooms is an independent Community Interest Company (CiC) which aims to:</w:t>
            </w:r>
            <w:r w:rsidRPr="00A66B82">
              <w:br/>
              <w:t>- Help create more jobs in the creative and manufacturing sectors by enabling and supporting new business creation</w:t>
            </w:r>
            <w:r w:rsidRPr="00A66B82">
              <w:br/>
              <w:t>- Improve employability</w:t>
            </w:r>
            <w:r w:rsidRPr="00A66B82">
              <w:t xml:space="preserve"> by giving people future creative and technical skills</w:t>
            </w:r>
            <w:r w:rsidRPr="00A66B82">
              <w:br/>
              <w:t>- Increase participation in Science, Engineering, Technology, Mathematics and The Arts</w:t>
            </w:r>
            <w:r w:rsidRPr="00A66B82">
              <w:br/>
              <w:t>- Improve the well-being of Lancashire residents by providing fun, interesting and self-development activities and</w:t>
            </w:r>
            <w:r w:rsidRPr="00A66B82">
              <w:t xml:space="preserve"> enabling people to design and make their own products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Creative Industries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Creative of Centre and Innovation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2016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Blackpool &amp; the Fylde College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Maritime Engineering Facility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Fleetwood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FY7 8JZ</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Specialist marine </w:t>
            </w:r>
            <w:r w:rsidRPr="00A66B82">
              <w:t>engineering centre accommodation at the internationally renowned centre of excellence.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Maritime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Education/ Skills Development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2016</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Blackpool &amp; the Fylde College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Lancashire Energy HQ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Blackpool</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FY4 2QS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Development of a National</w:t>
            </w:r>
            <w:r w:rsidRPr="00A66B82">
              <w:t xml:space="preserve"> Energy HQ to meet the training needs of the energy and oil and gas sector.</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Energy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Education/ Skills Development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2017</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Edge Hill University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Innovation Technology Hub</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Ormskirk</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L39 4QP</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The Edge Hill Technology Hub provides high quality space for teaching, learning, student employability, </w:t>
            </w:r>
            <w:r w:rsidRPr="00A66B82">
              <w:t>enterprise,</w:t>
            </w:r>
            <w:r w:rsidRPr="00A66B82">
              <w:t xml:space="preserve"> and knowledge exchange activities</w:t>
            </w:r>
            <w:r w:rsidRPr="00A66B82">
              <w:t xml:space="preserve">. </w:t>
            </w:r>
            <w:r w:rsidRPr="00A66B82">
              <w:t xml:space="preserve">The facility supports expansion in Digital Creative and Food </w:t>
            </w:r>
            <w:r w:rsidRPr="00A66B82">
              <w:lastRenderedPageBreak/>
              <w:t>Science (Biotechnology), and includes bioinf</w:t>
            </w:r>
            <w:r w:rsidRPr="00A66B82">
              <w:t>ormatics, product design and prototyping.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Digital Creative and Food Science (Biotechnology)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Education/ Skills Development/ Business Support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2016+</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Edge Hill University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Business Insight3 (Bi3)/Edge hill Partnership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KTP</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Chorley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 PR6 7EN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Bi3 supply </w:t>
            </w:r>
            <w:r w:rsidRPr="00A66B82">
              <w:t>security and customer intelligence solutions based on the latest technology available in video analytics, people counting, facial recognition, access control devices, queue management, facial marketing, digital and network storage. Utilising research exper</w:t>
            </w:r>
            <w:r w:rsidRPr="00A66B82">
              <w:t xml:space="preserve">tise from Edge Hill’s Centre for Data Analysis and Representation this </w:t>
            </w:r>
            <w:r w:rsidRPr="00A66B82">
              <w:t>24-month</w:t>
            </w:r>
            <w:r w:rsidRPr="00A66B82">
              <w:t xml:space="preserve"> KTP was designed to develop a holistic software framework that integrates multiple data capture devices, reporting and analysing data from a variety of sources.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Data and Cyber </w:t>
            </w:r>
            <w:r w:rsidRPr="00A66B82">
              <w:t>Security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Data and Cyber Security solutions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2014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Edge Hill University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Productivity and Innovation Centre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Business Support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Planned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Ormskirk</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L39 4QP</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The Productivity and Innovation Centre is an output driven programme of intensive workshops, with </w:t>
            </w:r>
            <w:r w:rsidRPr="00A66B82">
              <w:t>accompanying support from academic subject experts, which takes SMEs through a rapid innovation process to achieve two outcomes:</w:t>
            </w:r>
            <w:r w:rsidRPr="00A66B82">
              <w:br/>
            </w:r>
            <w:r w:rsidRPr="00A66B82">
              <w:br/>
              <w:t xml:space="preserve">1. SMEs adopt and embed highly effective rapid innovation processes in their business; a framework </w:t>
            </w:r>
            <w:r w:rsidRPr="00A66B82">
              <w:lastRenderedPageBreak/>
              <w:t xml:space="preserve">of evidence based decision </w:t>
            </w:r>
            <w:r w:rsidRPr="00A66B82">
              <w:t>making regarding the business and market case for an (technical/technological) innovation and evidence based practice (need/demand/efficacy based) in product, service or process development. This outcome specifically improves the productivity of SME innova</w:t>
            </w:r>
            <w:r w:rsidRPr="00A66B82">
              <w:t>tion.</w:t>
            </w:r>
            <w:r w:rsidRPr="00A66B82">
              <w:br/>
            </w:r>
            <w:r w:rsidRPr="00A66B82">
              <w:br/>
              <w:t xml:space="preserve">2. The release of new to firm and new to market product, service or process innovations by the SME participants. SMEs participants in the Centre will be identified from the outset on the basis that they have existing innovation assets at Technology </w:t>
            </w:r>
            <w:r w:rsidRPr="00A66B82">
              <w:t xml:space="preserve">Readiness Level (TRL) 2, 3 or 4, and would benefit from support (experiencing barriers and or need to reduce to time to market) </w:t>
            </w:r>
            <w:r w:rsidRPr="00A66B82">
              <w:t>to</w:t>
            </w:r>
            <w:r w:rsidRPr="00A66B82">
              <w:t xml:space="preserve"> efficiently move those assets through to beyond TRL level 7 ready for commercial release.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HE Business Support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Skills Developm</w:t>
            </w:r>
            <w:r w:rsidRPr="00A66B82">
              <w:t>ent/Business Support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2018</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Lancashire and Cumbria Innovation Alliance (LCIA)</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Lancashire NHS Test Bed</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AHSN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Wesham</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PR4 3AL</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The Lancashire and Cumbria Innovation Alliance (LCIA) has been awarded the opportunity to take part in NHS England’s Test Bed,</w:t>
            </w:r>
            <w:r w:rsidRPr="00A66B82">
              <w:t xml:space="preserve"> a </w:t>
            </w:r>
            <w:r w:rsidRPr="00A66B82">
              <w:t>two-year</w:t>
            </w:r>
            <w:r w:rsidRPr="00A66B82">
              <w:t xml:space="preserve"> pilot looking at how the use of technology </w:t>
            </w:r>
            <w:r w:rsidRPr="00A66B82">
              <w:lastRenderedPageBreak/>
              <w:t>can help provide modernised, innovative healthcare. The LCIA Test Bed is one of seven across England. It is hosted by Lancashire Care NHS Foundation Trust and is made up of several partners including L</w:t>
            </w:r>
            <w:r w:rsidRPr="00A66B82">
              <w:t>ancaster Health Hub, the Fylde Coast vanguard and the Better Care Together vanguard, as well as several innovators who, led by Philips, bring with them a wealth of expertise in a variety of healthcare technologies. The purpose of this Test Bed is to provid</w:t>
            </w:r>
            <w:r w:rsidRPr="00A66B82">
              <w:t xml:space="preserve">e frail and older people living with dementia or other </w:t>
            </w:r>
            <w:r w:rsidRPr="00A66B82">
              <w:t>long-term</w:t>
            </w:r>
            <w:r w:rsidRPr="00A66B82">
              <w:t xml:space="preserve"> conditions such as Chronic Obstructive Pulmonary Disease (COPD) or diabetes the opportunity to use technology to improve their overall health and wellbeing so they can stay will in the commun</w:t>
            </w:r>
            <w:r w:rsidRPr="00A66B82">
              <w:t>ity and avoid unnecessary hospital admissions.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Health Technologies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Healthcare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2016+</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Lancashire County Council</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 Research Centre (AMRC) North West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Planned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Samlesbury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BB2 7LF</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Delivery of a new regional hub of the </w:t>
            </w:r>
            <w:r w:rsidRPr="00A66B82">
              <w:t xml:space="preserve">national Advanced Manufacturing research Centre (AMRC) at the Samlesbury EZ site. The proposal is key to lifting productivity and growth in a priority growth sector of local and national </w:t>
            </w:r>
            <w:r w:rsidRPr="00A66B82">
              <w:lastRenderedPageBreak/>
              <w:t>significance and will enable Lancashire's businesses to compete and t</w:t>
            </w:r>
            <w:r w:rsidRPr="00A66B82">
              <w:t>rade internationally. The proposal builds on Lancashire and Sheffield's successful</w:t>
            </w:r>
            <w:r w:rsidRPr="00A66B82">
              <w:br/>
              <w:t>Science and Innovation Audit submission to Government – the Northern Powerhouse Advanced Manufacturing Corridor. The proposal also complements existing Growth Deal investmen</w:t>
            </w:r>
            <w:r w:rsidRPr="00A66B82">
              <w:t>t in UCLan's Engineering and Innovation Centre in Preston.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 R&amp;D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Lancashire LEP</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Boost Business Lancashire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Business Support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Lancashire's business growth hub, providing advice and support to </w:t>
            </w:r>
            <w:r w:rsidRPr="00A66B82">
              <w:t>businesses across the county, including access to finance, employment, and skills development programmes.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Public Sector Business Support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Business Support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Centre for Global Eco-Innovation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ERDF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LA1 4YQ</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The C</w:t>
            </w:r>
            <w:r w:rsidRPr="00A66B82">
              <w:t>entre for Global Eco-Innovation is the only centre of its kind in Europe and is part financed by the European Regional Development Fund. It brings together the expertise, resources and global contacts of Lancaster University and the University of Liverpool</w:t>
            </w:r>
            <w:r w:rsidRPr="00A66B82">
              <w:t xml:space="preserve">, together with international commercialisation consultancy Inventya Ltd. </w:t>
            </w:r>
            <w:r w:rsidRPr="00A66B82">
              <w:lastRenderedPageBreak/>
              <w:t>SME-led collaborative R&amp;D partnership with two world-ranking universities underpin the development of new products, processes and services for the global marketplace, which by virtue</w:t>
            </w:r>
            <w:r w:rsidRPr="00A66B82">
              <w:t xml:space="preserve"> of their use, manufacture, raw materials, reuse or disposal, deliver positive environmental impacts.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Eco-Innovation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R&amp;D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2012+</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Lancaster Health Innovation Campus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ERDF Project/ Growth Deal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Planned</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LA1 4YW</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A </w:t>
            </w:r>
            <w:r w:rsidRPr="00A66B82">
              <w:t>multi-phased campus providing R&amp;D space and facilities for the development of new services and technologies for health-related care. The aim of the development, based beside the University's Bailrigg campus, is to drive advances in technologies, products a</w:t>
            </w:r>
            <w:r w:rsidRPr="00A66B82">
              <w:t>nd ways of working to improve health and healthcare. The vision is to create a world-class centre of excellence for innovation and research in population health:</w:t>
            </w:r>
            <w:r w:rsidRPr="00A66B82">
              <w:br/>
              <w:t>- Transforming health care and practice regionally and globally</w:t>
            </w:r>
            <w:r w:rsidRPr="00A66B82">
              <w:br/>
              <w:t>- Achieving significant impact</w:t>
            </w:r>
            <w:r w:rsidRPr="00A66B82">
              <w:t xml:space="preserve"> on local health outcomes</w:t>
            </w:r>
            <w:r w:rsidRPr="00A66B82">
              <w:br/>
              <w:t>- Providing major contributions to regional economic development</w:t>
            </w:r>
            <w:r w:rsidRPr="00A66B82">
              <w:br/>
              <w:t xml:space="preserve">- Supporting service reform </w:t>
            </w:r>
            <w:r w:rsidRPr="00A66B82">
              <w:lastRenderedPageBreak/>
              <w:t>in the public sector</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Healthcare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Education/ Skills Training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Scheduled for completion September 2019</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Academic Centre </w:t>
            </w:r>
            <w:r w:rsidRPr="00A66B82">
              <w:t>of Excellence in Cyber Security Research - (Security Lancaster Research Centre)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Research</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LA1 4YF</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The Academic Centre of Excellence in Cyber Security Research (ACE-CSR) is hosted within the University's flagship cross-disciplinary Securit</w:t>
            </w:r>
            <w:r w:rsidRPr="00A66B82">
              <w:t xml:space="preserve">y Lancaster Research Centre. Inaugurated by Baroness Pauline Neville-Jones in October 2012, the centre is nationally and internationally renowned for its inter-disciplinary, systems-centred research, that blends computer science and communications aspects </w:t>
            </w:r>
            <w:r w:rsidRPr="00A66B82">
              <w:t xml:space="preserve">of cyber security with approaches from behavioural and social sciences. </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Information Technologies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Fundamentals of Computing, Information &amp; Knowledge Management, Networks &amp; Distributed Systems, Software Engineering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2012 onwards</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 Capital for Skills Development &amp; Employer Engagement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Planned</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LA1 4YW</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The project centres on the purchase of equipment to be situated at both Lancaster University and Lancashire Enterprise Zone (EZ) sites</w:t>
            </w:r>
            <w:r w:rsidRPr="00A66B82">
              <w:t>. The environments at both Lancaster and the EZ will provide Lancashire learners with access to unique, nationally leading and highly relevant equipment informed by underlying research expertise.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Education/ Skills Development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Financi</w:t>
            </w:r>
            <w:r w:rsidRPr="00A66B82">
              <w:t>al completion Sept 2017, Project completion Sept 2021</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Collaborative Technology Access Programme </w:t>
            </w:r>
            <w:r w:rsidRPr="00A66B82">
              <w:lastRenderedPageBreak/>
              <w:t>(cTAP)</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ERDF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LA1 4YB</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The Collaborative Technology Access Programme (cTAP) provides businesses access to </w:t>
            </w:r>
            <w:r w:rsidRPr="00A66B82">
              <w:lastRenderedPageBreak/>
              <w:t>faciliti</w:t>
            </w:r>
            <w:r w:rsidRPr="00A66B82">
              <w:t xml:space="preserve">es and expertise located in the Chemistry Department </w:t>
            </w:r>
            <w:r w:rsidRPr="00A66B82">
              <w:t>now unavailable</w:t>
            </w:r>
            <w:r w:rsidRPr="00A66B82">
              <w:t xml:space="preserve"> to </w:t>
            </w:r>
            <w:r w:rsidRPr="00A66B82">
              <w:t>inward</w:t>
            </w:r>
            <w:r>
              <w:t xml:space="preserve"> </w:t>
            </w:r>
            <w:r w:rsidRPr="00A66B82">
              <w:t>investing businesses within the UK. The facilities include Nuclear magnetic resonance (NMR) spectroscopy, chromatography and mass spectrometry instruments, molecular beam epitax</w:t>
            </w:r>
            <w:r w:rsidRPr="00A66B82">
              <w:t xml:space="preserve">y machine (which is used to manufacture semiconductor devices), next generation 3D microprinting system with a range of applications including bioengineering, </w:t>
            </w:r>
            <w:r w:rsidRPr="00A66B82">
              <w:t>Raman</w:t>
            </w:r>
            <w:r w:rsidRPr="00A66B82">
              <w:t xml:space="preserve"> spectrometer, SEM Microscope, FT infrared spectrophotometer, high performance liquid chroma</w:t>
            </w:r>
            <w:r w:rsidRPr="00A66B82">
              <w:t>tograph, X-ray fluorescence spectrometry, nanoscribe.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Chemistry </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Education/ Skills Development/ Business Support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2015 onwards</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Lancaster China </w:t>
            </w:r>
            <w:r w:rsidRPr="00A66B82">
              <w:t>Catalyst Programme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HEFCE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LA1 4YQ</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The Lancaster China Catalyst </w:t>
            </w:r>
            <w:r w:rsidRPr="00A66B82">
              <w:t>programme aims to exploit the global links of Lancaster University for the benefit of UK companies. From 2014-2017, with initial investment from the Higher Education Funding Council for England (HEFCE), Lancashire County Council and participating businesse</w:t>
            </w:r>
            <w:r w:rsidRPr="00A66B82">
              <w:t>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International Connectivity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International Connectivity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2014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Lancaster University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Lancaster Campus </w:t>
            </w:r>
            <w:r w:rsidRPr="00A66B82">
              <w:lastRenderedPageBreak/>
              <w:t>Teaching Hub (Health and Social Care)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Growth Deal </w:t>
            </w:r>
            <w:r w:rsidRPr="00A66B82">
              <w:lastRenderedPageBreak/>
              <w:t>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Lancaster</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LA1 3JD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This project reflects the first phase of investment at </w:t>
            </w:r>
            <w:r w:rsidRPr="00A66B82">
              <w:lastRenderedPageBreak/>
              <w:t>Lancast</w:t>
            </w:r>
            <w:r w:rsidRPr="00A66B82">
              <w:t xml:space="preserve">er to deliver a new </w:t>
            </w:r>
            <w:r w:rsidRPr="00A66B82">
              <w:t>latest</w:t>
            </w:r>
            <w:r w:rsidRPr="00A66B82">
              <w:t xml:space="preserve"> teaching hub providing staff and students with fully flexible space.</w:t>
            </w:r>
            <w:r w:rsidRPr="00A66B82">
              <w:br/>
              <w:t xml:space="preserve">The new teaching hub will provide an environment conducive to multi-professional </w:t>
            </w:r>
            <w:r w:rsidRPr="00A66B82">
              <w:t>higher-level</w:t>
            </w:r>
            <w:r w:rsidRPr="00A66B82">
              <w:t xml:space="preserve"> learning and opportunities to increase community and employer engagement.</w:t>
            </w:r>
            <w:r w:rsidRPr="00A66B82">
              <w:br/>
              <w:t>It will support growth in qualified professionals and deliver CPD to upskill existing workforce.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Health Technologies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Healthcare/Education &amp; Skills Development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2017</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 xml:space="preserve">Myerscough </w:t>
            </w:r>
            <w:r w:rsidRPr="00A66B82">
              <w:t>College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Myerscough College - Farm, Innovation Technology Centre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Preston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PR3 0RY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 sector leading centre of excellence for industry training and research. A major flagship build for agriculture and associated courses at Myerscou</w:t>
            </w:r>
            <w:r w:rsidRPr="00A66B82">
              <w:t>gh. The FFIT Centre boasts facilities to support food research and development with the aim of creating a resource that both local businesses and students can use to investigate opportunities to process and add value to on-farm produce.</w:t>
            </w:r>
            <w:r w:rsidRPr="00A66B82">
              <w:br/>
            </w:r>
            <w:r w:rsidRPr="00A66B82">
              <w:br/>
              <w:t>Includes specialis</w:t>
            </w:r>
            <w:r w:rsidRPr="00A66B82">
              <w:t>t teaching, demonstration and research facilities including a teaching laboratory, soil laboratory, instrumentation room, production development kitchen.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Education/ Skills Development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Education/ Skills Training/ Business Support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2017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National Nucl</w:t>
            </w:r>
            <w:r w:rsidRPr="00A66B82">
              <w:t xml:space="preserve">ear </w:t>
            </w:r>
            <w:r w:rsidRPr="00A66B82">
              <w:lastRenderedPageBreak/>
              <w:t>Laboratory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National Nuclear </w:t>
            </w:r>
            <w:r w:rsidRPr="00A66B82">
              <w:lastRenderedPageBreak/>
              <w:t>Laboratory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Company/ Key Asset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Preston/Warrington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PR4 0XJ/WA3 </w:t>
            </w:r>
            <w:r w:rsidRPr="00A66B82">
              <w:lastRenderedPageBreak/>
              <w:t>6AE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The National Nuclear Laboratory is a UK </w:t>
            </w:r>
            <w:r w:rsidRPr="00A66B82">
              <w:lastRenderedPageBreak/>
              <w:t xml:space="preserve">government owned and operated nuclear services technology provider covering the whole of the nuclear fuel cycle. It is fully customer-funded and operates at six locations in the United Kingdom. Activities at </w:t>
            </w:r>
            <w:r w:rsidRPr="00A66B82">
              <w:t>Springfi</w:t>
            </w:r>
            <w:r w:rsidRPr="00A66B82">
              <w:t>elds (</w:t>
            </w:r>
            <w:r w:rsidRPr="00A66B82">
              <w:t>Preston) include:</w:t>
            </w:r>
            <w:r w:rsidRPr="00A66B82">
              <w:br/>
              <w:t>- Nuclear physics and advanced reactors</w:t>
            </w:r>
            <w:r w:rsidRPr="00A66B82">
              <w:br/>
              <w:t>- Fuel Design and Manufacture</w:t>
            </w:r>
            <w:r w:rsidRPr="00A66B82">
              <w:br/>
              <w:t>- Specialist Analytical Services</w:t>
            </w:r>
            <w:r w:rsidRPr="00A66B82">
              <w:br/>
              <w:t>- Process Chemistry</w:t>
            </w:r>
            <w:r w:rsidRPr="00A66B82">
              <w:br/>
              <w:t>NNL’s activities in its leased facilities at Springfields (Preston Lab) and Sellafield (Central Lab and Winds</w:t>
            </w:r>
            <w:r w:rsidRPr="00A66B82">
              <w:t>cale Lab) are operated under Command &amp; Control regimes by Springfields Fuels Ltd and Sellafield Ltd respectively. Activities carried out under those regimes are constrained by the relevant Environmental Permits and Nuclear Site Licences held by Springfield</w:t>
            </w:r>
            <w:r w:rsidRPr="00A66B82">
              <w:t xml:space="preserve">s Fuels Ltd and Sellafield Ltd. </w:t>
            </w:r>
            <w:r w:rsidRPr="00A66B82">
              <w:br/>
              <w:t>Activities at Risley include:</w:t>
            </w:r>
            <w:r w:rsidRPr="00A66B82">
              <w:br/>
              <w:t>- Modelling and simulation</w:t>
            </w:r>
            <w:r w:rsidRPr="00A66B82">
              <w:br/>
              <w:t>- Engineering</w:t>
            </w:r>
            <w:r w:rsidRPr="00A66B82">
              <w:br/>
              <w:t>- Project Management</w:t>
            </w:r>
            <w:r w:rsidRPr="00A66B82">
              <w:br/>
              <w:t>- Corporate Functions</w:t>
            </w:r>
            <w:r w:rsidRPr="00A66B82">
              <w:br/>
              <w:t>- Environment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Nuclear Energy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Nuclear Services Technology Provider</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2009</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 xml:space="preserve">Nelson &amp; Colne </w:t>
            </w:r>
            <w:r w:rsidRPr="00A66B82">
              <w:lastRenderedPageBreak/>
              <w:t>College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 xml:space="preserve">Advanced </w:t>
            </w:r>
            <w:r w:rsidRPr="00A66B82">
              <w:lastRenderedPageBreak/>
              <w:t>Engin</w:t>
            </w:r>
            <w:r w:rsidRPr="00A66B82">
              <w:t>eering &amp; Manufacturing Innovation Centre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 xml:space="preserve">Growth </w:t>
            </w:r>
            <w:r w:rsidRPr="00A66B82">
              <w:lastRenderedPageBreak/>
              <w:t>Deal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Nelson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BB9 7YT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Expansion and remodelling </w:t>
            </w:r>
            <w:r w:rsidRPr="00A66B82">
              <w:lastRenderedPageBreak/>
              <w:t>of educational facilities and the creation of new advanced engineering, laboratory, workshop and classroom facilities.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 xml:space="preserve">Engineering/ </w:t>
            </w:r>
            <w:r w:rsidRPr="00A66B82">
              <w:lastRenderedPageBreak/>
              <w:t>Advanced Man</w:t>
            </w:r>
            <w:r w:rsidRPr="00A66B82">
              <w:t>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 xml:space="preserve">Educations/ Skills </w:t>
            </w:r>
            <w:r w:rsidRPr="00A66B82">
              <w:lastRenderedPageBreak/>
              <w:t>Training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2016</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Paccar Ltd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PACCAR (Leyland Trucks)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Leyland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PR26 6LZ</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Leyland’s 710,000-square-foot manufacturing facility features a technologically advanced production system which incorporates </w:t>
            </w:r>
            <w:r w:rsidRPr="00A66B82">
              <w:t>electronic work instructions (EWI) to deliver engineering designs, build instructions and quality records to employees by interactive touch screens. Leyland builds the full DAF product range (LF, CF and XF models) for right and left-hand drive markets. The</w:t>
            </w:r>
            <w:r w:rsidRPr="00A66B82">
              <w:t xml:space="preserve"> site is also the UK home of the successful PACCAR Parts business, who special in aftersales support and spares distribution across the UK and Europe.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Automotive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1998 onwards</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Precision Polymer Engineering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Precision Polymer </w:t>
            </w:r>
            <w:r w:rsidRPr="00A66B82">
              <w:t>Engineering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Blackburn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BB1 3EA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PPE develops novel elastomer materials to meet sealing applications including extreme temperatures and chemically aggressive environments. In </w:t>
            </w:r>
            <w:r w:rsidRPr="00A66B82">
              <w:t>addition,</w:t>
            </w:r>
            <w:r w:rsidRPr="00A66B82">
              <w:t xml:space="preserve"> PPE can mold rubber seals and rubber gaskets </w:t>
            </w:r>
            <w:r w:rsidRPr="00A66B82">
              <w:t xml:space="preserve">in sizes to suit any sealing application and manufacture them in lead times as fast as 48 hours.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1975</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Rolls Royce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Rolls Royce - </w:t>
            </w:r>
            <w:r w:rsidRPr="00A66B82">
              <w:lastRenderedPageBreak/>
              <w:t>Advanced and Ultrafan Engines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Company/ </w:t>
            </w:r>
            <w:r w:rsidRPr="00A66B82">
              <w:lastRenderedPageBreak/>
              <w:t>Key Asset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Planned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Barnoldswick</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BB18 </w:t>
            </w:r>
            <w:r w:rsidRPr="00A66B82">
              <w:lastRenderedPageBreak/>
              <w:t>6DZ</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Two new engines being </w:t>
            </w:r>
            <w:r w:rsidRPr="00A66B82">
              <w:lastRenderedPageBreak/>
              <w:t>developed: the Advance and UltraFan, predicted for launch in 2020 and 2025. The high efficiency core compression and turbine system incorporated into Advance will deliver the highest overall pressure ratio of any commercial turbofan e</w:t>
            </w:r>
            <w:r w:rsidRPr="00A66B82">
              <w:t>ngine ever-made resulting in greater efficiency and lower CO2 emissions.</w:t>
            </w:r>
            <w:r w:rsidRPr="00A66B82">
              <w:br/>
            </w:r>
            <w:r w:rsidRPr="00A66B82">
              <w:br/>
              <w:t>UltraFan takes the evolution of Advance further, featuring all the same technology and more. This will deliver further fuel efficiency and CO2 reductions, and provide a further signi</w:t>
            </w:r>
            <w:r w:rsidRPr="00A66B82">
              <w:t>ficant reduction in engine noise.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Aerospace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Advanced </w:t>
            </w:r>
            <w:r w:rsidRPr="00A66B82">
              <w:lastRenderedPageBreak/>
              <w:t>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lastRenderedPageBreak/>
              <w:t xml:space="preserve">Advanced </w:t>
            </w:r>
            <w:r w:rsidRPr="00A66B82">
              <w:lastRenderedPageBreak/>
              <w:t>from 2020, Ultrafan from 2025</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lastRenderedPageBreak/>
              <w:t>Safran Nascelles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Safran Nascelles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Burnley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BB10 2TQ</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Safran Nacelles is one of the two main integrators of aircraft engine </w:t>
            </w:r>
            <w:r w:rsidRPr="00A66B82">
              <w:t>nacelle systems in the world. With more than 18,000 equipment in service, Safran Nacelles proposes a range of nacelle systems to suit each type of aircraft: regional jets, business jets and commercial aircraft of more than 100 seats for medium- and long-ra</w:t>
            </w:r>
            <w:r w:rsidRPr="00A66B82">
              <w:t>nge travel.</w:t>
            </w:r>
            <w:r w:rsidRPr="00A66B82">
              <w:br/>
            </w:r>
            <w:r w:rsidRPr="00A66B82">
              <w:br/>
              <w:t xml:space="preserve">Safran Nacelles designs, integrates and ensures </w:t>
            </w:r>
            <w:r w:rsidRPr="00A66B82">
              <w:lastRenderedPageBreak/>
              <w:t>customer support and services for aircraft engine nacelle systems.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Aerospace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2005</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Sanko-Gosei Ltd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Sanko-Gosei Ltd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Skelmersdale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WN8 8EB</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Sanko-Gosei specialise in plastic moulding production for air conditioning systems, automotive systems, office automation, precision </w:t>
            </w:r>
            <w:r w:rsidRPr="00A66B82">
              <w:t>injection</w:t>
            </w:r>
            <w:r w:rsidRPr="00A66B82">
              <w:t xml:space="preserve"> moulding, communication systems, and injection moulding tooling.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19</w:t>
            </w:r>
            <w:r w:rsidRPr="00A66B82">
              <w:t>87</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Training 2000</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Training 2000</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Blackburn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BB1 3BD</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Training 2000 offer training, study programmes &amp; apprenticeships in North Lancs in sectors including digital, engineering, financial services, automotive, and cyber security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Engineering/ 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 Skills and Training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2016</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Trebor Developments/ Burnley Council</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Burnley Vision Park</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Growth Deal 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Burnley</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BB12 0AN?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High quality </w:t>
            </w:r>
            <w:r w:rsidRPr="00A66B82">
              <w:t>5-acre</w:t>
            </w:r>
            <w:r w:rsidRPr="00A66B82">
              <w:t xml:space="preserve"> business park to accommodate advanced manufacturing/engineering sectors and to include 46,000 sq. ft. first phase incubator, workspace and grow-on space.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Business space aimed to attract businesses in the advanced </w:t>
            </w:r>
            <w:r w:rsidRPr="00A66B82">
              <w:t>manufacturing</w:t>
            </w:r>
            <w:r w:rsidRPr="00A66B82">
              <w:t xml:space="preserve"> and digi-tech industries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Bus</w:t>
            </w:r>
            <w:r w:rsidRPr="00A66B82">
              <w:t>iness Space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2017</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 xml:space="preserve">UCLAN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National test bed for the UK’s development of drone technology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Research</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Preston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PR1 2HE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Preston was successful in its bid to become a national test-bed for the UK’s development of drone technology, this building on the wor</w:t>
            </w:r>
            <w:r w:rsidRPr="00A66B82">
              <w:t>k of the ‘Civic Drone Centre’ established by the University of Central Lancashire with a £250k investment in 2014</w:t>
            </w:r>
            <w:r w:rsidRPr="00A66B82">
              <w:t xml:space="preserve">. </w:t>
            </w:r>
            <w:r w:rsidRPr="00A66B82">
              <w:t xml:space="preserve">This not-for-profit centre brings together expertise and </w:t>
            </w:r>
            <w:r w:rsidRPr="00A66B82">
              <w:lastRenderedPageBreak/>
              <w:t>stakeholders including Local Authorities, communities, and businesses, and has devel</w:t>
            </w:r>
            <w:r w:rsidRPr="00A66B82">
              <w:t xml:space="preserve">oped and demonstrated many novel drone solutions. The Centre is an important </w:t>
            </w:r>
            <w:r w:rsidRPr="00A66B82">
              <w:t>part</w:t>
            </w:r>
            <w:r w:rsidRPr="00A66B82">
              <w:t xml:space="preserve"> of the new £32m Engineering Innovation Centre opening in Preston in early 2019</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Aerospace</w:t>
            </w:r>
            <w:r w:rsidRPr="00A66B82">
              <w:br/>
              <w:t>Digital</w:t>
            </w:r>
            <w:r w:rsidRPr="00A66B82">
              <w:br/>
              <w:t>Society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Demonstrator</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2018</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UCLAN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Engineering Innovation Centre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 xml:space="preserve">Growth Deal </w:t>
            </w:r>
            <w:r w:rsidRPr="00A66B82">
              <w:t>Project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Planned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Preston</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PR1 2HE</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Opening fully in 2019, the Engineering Innovation Centre (EIC) will capitalise on the location of the University at the centre of one of the most intensive engineering and manufacturing areas in the UK to create an internati</w:t>
            </w:r>
            <w:r w:rsidRPr="00A66B82">
              <w:t xml:space="preserve">onally competitive facility that will bring together the region’s expertise from within academia and industry. The EIC will be equipped to the highest standard with technology demonstration areas and specialist work areas to create an integrated space for </w:t>
            </w:r>
            <w:r w:rsidRPr="00A66B82">
              <w:t xml:space="preserve">teaching, research and knowledge exchange. </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Engineering/ 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Engineering/Advanced Manufacturing training facilities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2019 onwards</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Victrex</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Victrex</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Thornton-Cleveleys</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FY5 4QD</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Victrex plc is a British-based </w:t>
            </w:r>
            <w:r w:rsidRPr="00A66B82">
              <w:t xml:space="preserve">supplier of high performance polymer solutions. It is a constituent of the FTSE 250. The company’s headquarters and manufacturing facilities are based in the UK with </w:t>
            </w:r>
            <w:r w:rsidRPr="00A66B82">
              <w:lastRenderedPageBreak/>
              <w:t>technical and customer support facilities in multiple markets, serving more than 40 countr</w:t>
            </w:r>
            <w:r w:rsidRPr="00A66B82">
              <w:t>ies. Victrex serves a diverse range of industries including aerospace, automotive, electronics, oil and gas and medical.</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Advanced Manufacturing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1993 onwards</w:t>
            </w:r>
          </w:p>
        </w:tc>
      </w:tr>
      <w:tr w:rsidR="00351F99" w:rsidTr="00351F9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Vinnolit GMBH</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Vinnolit GMBH</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Thornton-Cleveleys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FY5 5LR</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Vinnolit produces and markets a wide range of PVC products suitable for all kinds of PVC applications, e.g. in the building &amp; construction sector, in the automotive industry or in the medical sector. Whether the PVC is for window profiles, pipes, r</w:t>
            </w:r>
            <w:r w:rsidRPr="00A66B82">
              <w:t xml:space="preserve">igid film, flooring, wall covering, technical coatings, automotive sealants, cable sheathing or medical applications, Vinnolit </w:t>
            </w:r>
            <w:r w:rsidRPr="00A66B82">
              <w:t>can</w:t>
            </w:r>
            <w:r w:rsidRPr="00A66B82">
              <w:t xml:space="preserve"> offer a suitable product.</w:t>
            </w:r>
            <w:r w:rsidRPr="00A66B82">
              <w:br/>
              <w:t>Additionally Vinnolit produces and markets intermediates such as caustic soda, vinyl chloride and t</w:t>
            </w:r>
            <w:r w:rsidRPr="00A66B82">
              <w:t xml:space="preserve">in tetrachloride, which are </w:t>
            </w:r>
            <w:r w:rsidRPr="00A66B82">
              <w:t>needed</w:t>
            </w:r>
            <w:r w:rsidRPr="00A66B82">
              <w:t xml:space="preserve"> in the chemical industry as well as in other branches.</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Chemicals/ Advanced Manufacturing</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Advanced Manufacturing, R&amp;D</w:t>
            </w:r>
          </w:p>
        </w:tc>
        <w:tc>
          <w:tcPr>
            <w:tcW w:w="0" w:type="auto"/>
            <w:hideMark/>
          </w:tcPr>
          <w:p w:rsidR="00C04E50" w:rsidRPr="00A66B82" w:rsidRDefault="00BE7ED1" w:rsidP="0074708B">
            <w:pPr>
              <w:pStyle w:val="SDPTabhletext"/>
              <w:cnfStyle w:val="000000100000" w:firstRow="0" w:lastRow="0" w:firstColumn="0" w:lastColumn="0" w:oddVBand="0" w:evenVBand="0" w:oddHBand="1" w:evenHBand="0" w:firstRowFirstColumn="0" w:firstRowLastColumn="0" w:lastRowFirstColumn="0" w:lastRowLastColumn="0"/>
            </w:pPr>
            <w:r w:rsidRPr="00A66B82">
              <w:t>1998 onwards</w:t>
            </w:r>
          </w:p>
        </w:tc>
      </w:tr>
      <w:tr w:rsidR="00351F99" w:rsidTr="00351F99">
        <w:trPr>
          <w:cantSplit w:val="0"/>
        </w:trPr>
        <w:tc>
          <w:tcPr>
            <w:cnfStyle w:val="001000000000" w:firstRow="0" w:lastRow="0" w:firstColumn="1" w:lastColumn="0" w:oddVBand="0" w:evenVBand="0" w:oddHBand="0" w:evenHBand="0" w:firstRowFirstColumn="0" w:firstRowLastColumn="0" w:lastRowFirstColumn="0" w:lastRowLastColumn="0"/>
            <w:tcW w:w="0" w:type="auto"/>
            <w:hideMark/>
          </w:tcPr>
          <w:p w:rsidR="00C04E50" w:rsidRPr="00A66B82" w:rsidRDefault="00BE7ED1" w:rsidP="0074708B">
            <w:pPr>
              <w:pStyle w:val="SDPTabhletext"/>
            </w:pPr>
            <w:r w:rsidRPr="00A66B82">
              <w:t xml:space="preserve">Westinghouse Springfields Fuels Ltd </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Nuclear Fuel Production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Company/ Key Asset</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Existing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Preston</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PR4 0XJ</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 xml:space="preserve">Springfields is a nuclear fuel production installation in Salwick, near Preston. The key assets/services/products are nuclear fuel manufacture, uranium recovery, and nuclear </w:t>
            </w:r>
            <w:r w:rsidRPr="00A66B82">
              <w:lastRenderedPageBreak/>
              <w:t>decommissioning.</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lastRenderedPageBreak/>
              <w:t>Nuclear Energy</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Nuclear Fuel Manufacture</w:t>
            </w:r>
          </w:p>
        </w:tc>
        <w:tc>
          <w:tcPr>
            <w:tcW w:w="0" w:type="auto"/>
            <w:hideMark/>
          </w:tcPr>
          <w:p w:rsidR="00C04E50" w:rsidRPr="00A66B82" w:rsidRDefault="00BE7ED1" w:rsidP="0074708B">
            <w:pPr>
              <w:pStyle w:val="SDPTabhletext"/>
              <w:cnfStyle w:val="000000000000" w:firstRow="0" w:lastRow="0" w:firstColumn="0" w:lastColumn="0" w:oddVBand="0" w:evenVBand="0" w:oddHBand="0" w:evenHBand="0" w:firstRowFirstColumn="0" w:firstRowLastColumn="0" w:lastRowFirstColumn="0" w:lastRowLastColumn="0"/>
            </w:pPr>
            <w:r w:rsidRPr="00A66B82">
              <w:t>1940s+</w:t>
            </w:r>
          </w:p>
        </w:tc>
      </w:tr>
    </w:tbl>
    <w:p w:rsidR="003F2245" w:rsidRDefault="00BE7ED1" w:rsidP="003F2245"/>
    <w:p w:rsidR="00AE28E3" w:rsidRPr="00A66B82" w:rsidRDefault="00BE7ED1" w:rsidP="0074708B">
      <w:pPr>
        <w:sectPr w:rsidR="00AE28E3" w:rsidRPr="00A66B82" w:rsidSect="0074708B">
          <w:pgSz w:w="16838" w:h="11906" w:orient="landscape" w:code="9"/>
          <w:pgMar w:top="105" w:right="1440" w:bottom="900" w:left="1701" w:header="720" w:footer="720" w:gutter="0"/>
          <w:cols w:space="708"/>
          <w:docGrid w:linePitch="360"/>
        </w:sectPr>
      </w:pPr>
    </w:p>
    <w:p w:rsidR="00773A62" w:rsidRPr="00A2772C" w:rsidRDefault="00BE7ED1" w:rsidP="00D51322">
      <w:pPr>
        <w:pStyle w:val="CSTitle"/>
      </w:pPr>
      <w:bookmarkStart w:id="244" w:name="bmkControl"/>
      <w:bookmarkEnd w:id="230"/>
      <w:bookmarkEnd w:id="244"/>
      <w:r w:rsidRPr="00A2772C">
        <w:lastRenderedPageBreak/>
        <w:t>Control Information</w:t>
      </w:r>
    </w:p>
    <w:tbl>
      <w:tblPr>
        <w:tblStyle w:val="SDGControlInformation"/>
        <w:tblW w:w="5000" w:type="pct"/>
        <w:tblLook w:val="04A0" w:firstRow="1" w:lastRow="0" w:firstColumn="1" w:lastColumn="0" w:noHBand="0" w:noVBand="1"/>
      </w:tblPr>
      <w:tblGrid>
        <w:gridCol w:w="4240"/>
        <w:gridCol w:w="4241"/>
      </w:tblGrid>
      <w:tr w:rsidR="00351F99" w:rsidTr="00351F99">
        <w:trPr>
          <w:cnfStyle w:val="100000000000" w:firstRow="1" w:lastRow="0" w:firstColumn="0" w:lastColumn="0" w:oddVBand="0" w:evenVBand="0" w:oddHBand="0" w:evenHBand="0" w:firstRowFirstColumn="0" w:firstRowLastColumn="0" w:lastRowFirstColumn="0" w:lastRowLastColumn="0"/>
        </w:trPr>
        <w:tc>
          <w:tcPr>
            <w:tcW w:w="2500" w:type="pct"/>
          </w:tcPr>
          <w:p w:rsidR="00773A62" w:rsidRPr="00A2772C" w:rsidRDefault="00BE7ED1" w:rsidP="00AA6CAC">
            <w:r w:rsidRPr="00A2772C">
              <w:t>Prepared by</w:t>
            </w:r>
          </w:p>
        </w:tc>
        <w:tc>
          <w:tcPr>
            <w:tcW w:w="2500" w:type="pct"/>
          </w:tcPr>
          <w:p w:rsidR="00773A62" w:rsidRPr="00A2772C" w:rsidRDefault="00BE7ED1" w:rsidP="00AA6CAC">
            <w:r w:rsidRPr="00A2772C">
              <w:t>Prepared for</w:t>
            </w:r>
          </w:p>
        </w:tc>
      </w:tr>
      <w:tr w:rsidR="00351F99" w:rsidTr="00351F99">
        <w:trPr>
          <w:trHeight w:val="781"/>
        </w:trPr>
        <w:tc>
          <w:tcPr>
            <w:tcW w:w="2500" w:type="pct"/>
          </w:tcPr>
          <w:p w:rsidR="00773A62" w:rsidRPr="00A2772C" w:rsidRDefault="00BE7ED1" w:rsidP="00AA6CAC">
            <w:r w:rsidRPr="00A2772C">
              <w:t>SDG Economic Development</w:t>
            </w:r>
          </w:p>
          <w:sdt>
            <w:sdtPr>
              <w:alias w:val="Office address"/>
              <w:tag w:val="Office address"/>
              <w:id w:val="-286740427"/>
              <w:placeholder>
                <w:docPart w:val="4C58D41AFCFE4BB7B30FDD92CFEF2285"/>
              </w:placeholder>
              <w:dataBinding w:xpath="/root[1]/Office[1]/Address[1]" w:storeItemID="{2FFE2CD3-62F3-4FBE-BE43-75DDB2D9F79B}"/>
              <w:text w:multiLine="1"/>
            </w:sdtPr>
            <w:sdtEndPr/>
            <w:sdtContent>
              <w:p w:rsidR="00773A62" w:rsidRPr="00A2772C" w:rsidRDefault="00BE7ED1" w:rsidP="00AA6CAC">
                <w:r w:rsidRPr="00A2772C">
                  <w:t>61 Mosley Street</w:t>
                </w:r>
                <w:r w:rsidRPr="00A2772C">
                  <w:br/>
                  <w:t>Manchester M2 3HZ</w:t>
                </w:r>
              </w:p>
            </w:sdtContent>
          </w:sdt>
          <w:sdt>
            <w:sdtPr>
              <w:alias w:val="Office telephone"/>
              <w:tag w:val="Office telephone"/>
              <w:id w:val="-284820578"/>
              <w:placeholder>
                <w:docPart w:val="4D78C3A04D14417CBD63D14F0DD36702"/>
              </w:placeholder>
              <w:dataBinding w:xpath="/root[1]/Office[1]/Telephone[1]" w:storeItemID="{2FFE2CD3-62F3-4FBE-BE43-75DDB2D9F79B}"/>
              <w:text/>
            </w:sdtPr>
            <w:sdtEndPr/>
            <w:sdtContent>
              <w:p w:rsidR="00773A62" w:rsidRPr="00A2772C" w:rsidRDefault="00BE7ED1" w:rsidP="00AA6CAC">
                <w:r>
                  <w:t>+44 161 261 9141</w:t>
                </w:r>
              </w:p>
            </w:sdtContent>
          </w:sdt>
          <w:sdt>
            <w:sdtPr>
              <w:alias w:val="Office web"/>
              <w:tag w:val="Office web"/>
              <w:id w:val="332722594"/>
              <w:placeholder>
                <w:docPart w:val="075909A07C1741F1B97B725A437D5945"/>
              </w:placeholder>
              <w:dataBinding w:xpath="/root[1]/Office[1]/URL[1]" w:storeItemID="{2FFE2CD3-62F3-4FBE-BE43-75DDB2D9F79B}"/>
              <w:text/>
            </w:sdtPr>
            <w:sdtEndPr/>
            <w:sdtContent>
              <w:p w:rsidR="00773A62" w:rsidRPr="00A2772C" w:rsidRDefault="00BE7ED1" w:rsidP="00AA6CAC">
                <w:r w:rsidRPr="00A2772C">
                  <w:t>www.sdgED.com</w:t>
                </w:r>
              </w:p>
            </w:sdtContent>
          </w:sdt>
        </w:tc>
        <w:tc>
          <w:tcPr>
            <w:tcW w:w="2500" w:type="pct"/>
          </w:tcPr>
          <w:p w:rsidR="00773A62" w:rsidRPr="00A2772C" w:rsidRDefault="00BE7ED1" w:rsidP="00AA6CAC">
            <w:sdt>
              <w:sdtPr>
                <w:alias w:val="Company"/>
                <w:id w:val="-2121438004"/>
                <w:placeholder>
                  <w:docPart w:val="86B6B605776F437FA948DC75148A3BBC"/>
                </w:placeholder>
                <w:dataBinding w:prefixMappings="xmlns:ns0='http://schemas.openxmlformats.org/officeDocument/2006/extended-properties' " w:xpath="/ns0:Properties[1]/ns0:Company[1]" w:storeItemID="{6668398D-A668-4E3E-A5EB-62B293D839F1}"/>
                <w:text/>
              </w:sdtPr>
              <w:sdtEndPr/>
              <w:sdtContent>
                <w:r>
                  <w:t>Lancashire Enterprise Partnership</w:t>
                </w:r>
              </w:sdtContent>
            </w:sdt>
          </w:p>
          <w:p w:rsidR="00773A62" w:rsidRPr="00A2772C" w:rsidRDefault="00BE7ED1" w:rsidP="00AA6CAC">
            <w:sdt>
              <w:sdtPr>
                <w:alias w:val="Company Address"/>
                <w:id w:val="681015019"/>
                <w:placeholder>
                  <w:docPart w:val="FC6B7595F1BC4CDEAB128237BEAF23F9"/>
                </w:placeholder>
                <w:dataBinding w:prefixMappings="xmlns:ns0='http://schemas.microsoft.com/office/2006/coverPageProps' " w:xpath="/ns0:CoverPageProperties[1]/ns0:CompanyAddress[1]" w:storeItemID="{55AF091B-3C7A-41E3-B477-F2FDAA23CFDA}"/>
                <w:text w:multiLine="1"/>
              </w:sdtPr>
              <w:sdtEndPr/>
              <w:sdtContent>
                <w:r>
                  <w:t>c/o 15 Cross Street</w:t>
                </w:r>
                <w:r>
                  <w:br/>
                  <w:t>Preston PR1 3LT</w:t>
                </w:r>
              </w:sdtContent>
            </w:sdt>
          </w:p>
        </w:tc>
      </w:tr>
    </w:tbl>
    <w:p w:rsidR="00773A62" w:rsidRPr="00A2772C" w:rsidRDefault="00BE7ED1" w:rsidP="00AA6CAC">
      <w:pPr>
        <w:pStyle w:val="Spaceaftertable"/>
      </w:pPr>
    </w:p>
    <w:tbl>
      <w:tblPr>
        <w:tblStyle w:val="SDGControlInformation"/>
        <w:tblW w:w="5000" w:type="pct"/>
        <w:tblLook w:val="00A0" w:firstRow="1" w:lastRow="0" w:firstColumn="1" w:lastColumn="0" w:noHBand="0" w:noVBand="0"/>
      </w:tblPr>
      <w:tblGrid>
        <w:gridCol w:w="4240"/>
        <w:gridCol w:w="4241"/>
      </w:tblGrid>
      <w:tr w:rsidR="00351F99" w:rsidTr="00351F99">
        <w:trPr>
          <w:cnfStyle w:val="100000000000" w:firstRow="1" w:lastRow="0" w:firstColumn="0" w:lastColumn="0" w:oddVBand="0" w:evenVBand="0" w:oddHBand="0" w:evenHBand="0" w:firstRowFirstColumn="0" w:firstRowLastColumn="0" w:lastRowFirstColumn="0" w:lastRowLastColumn="0"/>
        </w:trPr>
        <w:tc>
          <w:tcPr>
            <w:tcW w:w="2500" w:type="pct"/>
            <w:hideMark/>
          </w:tcPr>
          <w:p w:rsidR="00773A62" w:rsidRPr="00A2772C" w:rsidRDefault="00BE7ED1" w:rsidP="00AA6CAC">
            <w:r w:rsidRPr="00A2772C">
              <w:t xml:space="preserve">SDG </w:t>
            </w:r>
            <w:r w:rsidRPr="00A2772C">
              <w:t>project/proposal number</w:t>
            </w:r>
          </w:p>
        </w:tc>
        <w:tc>
          <w:tcPr>
            <w:tcW w:w="2500" w:type="pct"/>
          </w:tcPr>
          <w:p w:rsidR="00773A62" w:rsidRPr="00A2772C" w:rsidRDefault="00BE7ED1" w:rsidP="00AA6CAC">
            <w:r w:rsidRPr="00A2772C">
              <w:t>Client contract/project number</w:t>
            </w:r>
          </w:p>
        </w:tc>
      </w:tr>
      <w:tr w:rsidR="00351F99" w:rsidTr="00351F99">
        <w:tc>
          <w:tcPr>
            <w:tcW w:w="2500" w:type="pct"/>
          </w:tcPr>
          <w:p w:rsidR="00773A62" w:rsidRPr="00A2772C" w:rsidRDefault="00BE7ED1" w:rsidP="00AA6CAC">
            <w:sdt>
              <w:sdtPr>
                <w:alias w:val="Project number"/>
                <w:tag w:val="Project number"/>
                <w:id w:val="1170132571"/>
                <w:placeholder>
                  <w:docPart w:val="CBC6FE02E1844706A5F619CD9E847643"/>
                </w:placeholder>
                <w:dataBinding w:xpath="/root[1]/Project_number[1]" w:storeItemID="{2FFE2CD3-62F3-4FBE-BE43-75DDB2D9F79B}"/>
                <w:text/>
              </w:sdtPr>
              <w:sdtEndPr/>
              <w:sdtContent>
                <w:r w:rsidRPr="00A2772C">
                  <w:t>231-495-01</w:t>
                </w:r>
              </w:sdtContent>
            </w:sdt>
          </w:p>
        </w:tc>
        <w:tc>
          <w:tcPr>
            <w:tcW w:w="2500" w:type="pct"/>
          </w:tcPr>
          <w:p w:rsidR="00773A62" w:rsidRPr="00A2772C" w:rsidRDefault="00BE7ED1" w:rsidP="00AA6CAC">
            <w:sdt>
              <w:sdtPr>
                <w:alias w:val="Client ref"/>
                <w:tag w:val="Client ref"/>
                <w:id w:val="70316141"/>
                <w:placeholder>
                  <w:docPart w:val="E59DD076DE15449091E978D08092B197"/>
                </w:placeholder>
                <w:showingPlcHdr/>
                <w:dataBinding w:xpath="/root[1]/Client[1]/Ref[1]" w:storeItemID="{2FFE2CD3-62F3-4FBE-BE43-75DDB2D9F79B}"/>
                <w:text/>
              </w:sdtPr>
              <w:sdtEndPr/>
              <w:sdtContent>
                <w:r w:rsidRPr="00A2772C">
                  <w:rPr>
                    <w:rStyle w:val="PlaceholderText"/>
                  </w:rPr>
                  <w:t>Click here to enter text.</w:t>
                </w:r>
              </w:sdtContent>
            </w:sdt>
          </w:p>
        </w:tc>
      </w:tr>
    </w:tbl>
    <w:p w:rsidR="00773A62" w:rsidRPr="00A2772C" w:rsidRDefault="00BE7ED1" w:rsidP="00AA6CAC">
      <w:pPr>
        <w:pStyle w:val="Spaceaftertable"/>
      </w:pPr>
    </w:p>
    <w:tbl>
      <w:tblPr>
        <w:tblStyle w:val="SDGControlInformation"/>
        <w:tblW w:w="5000" w:type="pct"/>
        <w:tblLook w:val="00A0" w:firstRow="1" w:lastRow="0" w:firstColumn="1" w:lastColumn="0" w:noHBand="0" w:noVBand="0"/>
      </w:tblPr>
      <w:tblGrid>
        <w:gridCol w:w="4240"/>
        <w:gridCol w:w="4241"/>
      </w:tblGrid>
      <w:tr w:rsidR="00351F99" w:rsidTr="00351F99">
        <w:trPr>
          <w:cnfStyle w:val="100000000000" w:firstRow="1" w:lastRow="0" w:firstColumn="0" w:lastColumn="0" w:oddVBand="0" w:evenVBand="0" w:oddHBand="0" w:evenHBand="0" w:firstRowFirstColumn="0" w:firstRowLastColumn="0" w:lastRowFirstColumn="0" w:lastRowLastColumn="0"/>
        </w:trPr>
        <w:tc>
          <w:tcPr>
            <w:tcW w:w="2500" w:type="pct"/>
            <w:hideMark/>
          </w:tcPr>
          <w:p w:rsidR="00773A62" w:rsidRPr="00A2772C" w:rsidRDefault="00BE7ED1" w:rsidP="00AA6CAC">
            <w:r w:rsidRPr="00A2772C">
              <w:t>Author/originator</w:t>
            </w:r>
          </w:p>
        </w:tc>
        <w:tc>
          <w:tcPr>
            <w:tcW w:w="2500" w:type="pct"/>
          </w:tcPr>
          <w:p w:rsidR="00773A62" w:rsidRPr="00A2772C" w:rsidRDefault="00BE7ED1" w:rsidP="00AA6CAC">
            <w:r w:rsidRPr="00A2772C">
              <w:t>Reviewer/approver</w:t>
            </w:r>
          </w:p>
        </w:tc>
      </w:tr>
      <w:tr w:rsidR="00351F99" w:rsidTr="00351F99">
        <w:tc>
          <w:tcPr>
            <w:tcW w:w="2500" w:type="pct"/>
          </w:tcPr>
          <w:p w:rsidR="00773A62" w:rsidRPr="00A2772C" w:rsidRDefault="00BE7ED1" w:rsidP="00AA6CAC">
            <w:sdt>
              <w:sdtPr>
                <w:alias w:val="Author"/>
                <w:tag w:val="Author"/>
                <w:id w:val="1425377174"/>
                <w:dataBinding w:prefixMappings="xmlns:ns0='http://purl.org/dc/elements/1.1/' xmlns:ns1='http://schemas.openxmlformats.org/package/2006/metadata/core-properties' " w:xpath="/ns1:coreProperties[1]/ns0:creator[1]" w:storeItemID="{6C3C8BC8-F283-45AE-878A-BAB7291924A1}"/>
                <w:text/>
              </w:sdtPr>
              <w:sdtEndPr/>
              <w:sdtContent>
                <w:r>
                  <w:t>Walker, Andy (OCE)</w:t>
                </w:r>
              </w:sdtContent>
            </w:sdt>
          </w:p>
        </w:tc>
        <w:tc>
          <w:tcPr>
            <w:tcW w:w="2500" w:type="pct"/>
          </w:tcPr>
          <w:p w:rsidR="00773A62" w:rsidRPr="00A2772C" w:rsidRDefault="00BE7ED1" w:rsidP="00AA6CAC">
            <w:r>
              <w:t>Simon Pringle</w:t>
            </w:r>
          </w:p>
        </w:tc>
      </w:tr>
    </w:tbl>
    <w:p w:rsidR="00773A62" w:rsidRPr="00A2772C" w:rsidRDefault="00BE7ED1" w:rsidP="00AA6CAC">
      <w:pPr>
        <w:pStyle w:val="Spaceaftertable"/>
      </w:pPr>
    </w:p>
    <w:tbl>
      <w:tblPr>
        <w:tblStyle w:val="SDGControlInformation"/>
        <w:tblW w:w="5000" w:type="pct"/>
        <w:tblLook w:val="00A0" w:firstRow="1" w:lastRow="0" w:firstColumn="1" w:lastColumn="0" w:noHBand="0" w:noVBand="0"/>
      </w:tblPr>
      <w:tblGrid>
        <w:gridCol w:w="4241"/>
        <w:gridCol w:w="619"/>
        <w:gridCol w:w="1501"/>
        <w:gridCol w:w="478"/>
        <w:gridCol w:w="1642"/>
      </w:tblGrid>
      <w:tr w:rsidR="00351F99" w:rsidTr="00351F99">
        <w:trPr>
          <w:cnfStyle w:val="100000000000" w:firstRow="1" w:lastRow="0" w:firstColumn="0" w:lastColumn="0" w:oddVBand="0" w:evenVBand="0" w:oddHBand="0" w:evenHBand="0" w:firstRowFirstColumn="0" w:firstRowLastColumn="0" w:lastRowFirstColumn="0" w:lastRowLastColumn="0"/>
        </w:trPr>
        <w:tc>
          <w:tcPr>
            <w:tcW w:w="2500" w:type="pct"/>
            <w:hideMark/>
          </w:tcPr>
          <w:p w:rsidR="00773A62" w:rsidRPr="00A2772C" w:rsidRDefault="00BE7ED1" w:rsidP="00AA6CAC">
            <w:r w:rsidRPr="00A2772C">
              <w:t>Other contributors</w:t>
            </w:r>
          </w:p>
        </w:tc>
        <w:tc>
          <w:tcPr>
            <w:tcW w:w="2500" w:type="pct"/>
            <w:gridSpan w:val="4"/>
          </w:tcPr>
          <w:p w:rsidR="00773A62" w:rsidRPr="00A2772C" w:rsidRDefault="00BE7ED1" w:rsidP="00AA6CAC">
            <w:r w:rsidRPr="00A2772C">
              <w:t>Distribution</w:t>
            </w:r>
          </w:p>
        </w:tc>
      </w:tr>
      <w:tr w:rsidR="00351F99" w:rsidTr="00351F99">
        <w:tc>
          <w:tcPr>
            <w:tcW w:w="2500" w:type="pct"/>
          </w:tcPr>
          <w:p w:rsidR="00773A62" w:rsidRPr="00A2772C" w:rsidRDefault="00BE7ED1" w:rsidP="00AA6CAC"/>
        </w:tc>
        <w:tc>
          <w:tcPr>
            <w:tcW w:w="365" w:type="pct"/>
          </w:tcPr>
          <w:p w:rsidR="00773A62" w:rsidRPr="00A2772C" w:rsidRDefault="00BE7ED1" w:rsidP="00AA6CAC">
            <w:pPr>
              <w:rPr>
                <w:i/>
              </w:rPr>
            </w:pPr>
            <w:r w:rsidRPr="00A2772C">
              <w:rPr>
                <w:i/>
              </w:rPr>
              <w:t>Client:</w:t>
            </w:r>
          </w:p>
        </w:tc>
        <w:tc>
          <w:tcPr>
            <w:tcW w:w="885" w:type="pct"/>
          </w:tcPr>
          <w:p w:rsidR="00773A62" w:rsidRPr="00A2772C" w:rsidRDefault="00BE7ED1" w:rsidP="00AA6CAC"/>
        </w:tc>
        <w:tc>
          <w:tcPr>
            <w:tcW w:w="282" w:type="pct"/>
          </w:tcPr>
          <w:p w:rsidR="00773A62" w:rsidRPr="00A2772C" w:rsidRDefault="00BE7ED1" w:rsidP="00AA6CAC">
            <w:r w:rsidRPr="00A2772C">
              <w:rPr>
                <w:i/>
              </w:rPr>
              <w:t>SDG</w:t>
            </w:r>
            <w:r w:rsidRPr="00A2772C">
              <w:t>:</w:t>
            </w:r>
          </w:p>
        </w:tc>
        <w:tc>
          <w:tcPr>
            <w:tcW w:w="967" w:type="pct"/>
          </w:tcPr>
          <w:p w:rsidR="00773A62" w:rsidRPr="00A2772C" w:rsidRDefault="00BE7ED1" w:rsidP="00AA6CAC"/>
        </w:tc>
      </w:tr>
    </w:tbl>
    <w:p w:rsidR="00773A62" w:rsidRPr="00A2772C" w:rsidRDefault="00BE7ED1" w:rsidP="00AA6CAC">
      <w:pPr>
        <w:pStyle w:val="Spaceaftertable"/>
      </w:pPr>
    </w:p>
    <w:tbl>
      <w:tblPr>
        <w:tblStyle w:val="SDGControlInformation"/>
        <w:tblW w:w="5000" w:type="pct"/>
        <w:tblLook w:val="00A0" w:firstRow="1" w:lastRow="0" w:firstColumn="1" w:lastColumn="0" w:noHBand="0" w:noVBand="0"/>
      </w:tblPr>
      <w:tblGrid>
        <w:gridCol w:w="4240"/>
        <w:gridCol w:w="4241"/>
      </w:tblGrid>
      <w:tr w:rsidR="00351F99" w:rsidTr="00351F99">
        <w:trPr>
          <w:cnfStyle w:val="100000000000" w:firstRow="1" w:lastRow="0" w:firstColumn="0" w:lastColumn="0" w:oddVBand="0" w:evenVBand="0" w:oddHBand="0" w:evenHBand="0" w:firstRowFirstColumn="0" w:firstRowLastColumn="0" w:lastRowFirstColumn="0" w:lastRowLastColumn="0"/>
        </w:trPr>
        <w:tc>
          <w:tcPr>
            <w:tcW w:w="2500" w:type="pct"/>
            <w:hideMark/>
          </w:tcPr>
          <w:p w:rsidR="00773A62" w:rsidRPr="00A2772C" w:rsidRDefault="00BE7ED1" w:rsidP="00AA6CAC">
            <w:r w:rsidRPr="00A2772C">
              <w:t>Version control/issue number</w:t>
            </w:r>
          </w:p>
        </w:tc>
        <w:tc>
          <w:tcPr>
            <w:tcW w:w="2500" w:type="pct"/>
          </w:tcPr>
          <w:p w:rsidR="00773A62" w:rsidRPr="00A2772C" w:rsidRDefault="00BE7ED1" w:rsidP="00AA6CAC">
            <w:r w:rsidRPr="00A2772C">
              <w:t>Date</w:t>
            </w:r>
          </w:p>
        </w:tc>
      </w:tr>
    </w:tbl>
    <w:p w:rsidR="00AB6520" w:rsidRPr="00A2772C" w:rsidRDefault="00BE7ED1" w:rsidP="00D22C9B"/>
    <w:p w:rsidR="00AB6520" w:rsidRPr="00A2772C" w:rsidRDefault="00BE7ED1" w:rsidP="00260294">
      <w:pPr>
        <w:sectPr w:rsidR="00AB6520" w:rsidRPr="00A2772C" w:rsidSect="00CB30AE">
          <w:headerReference w:type="even" r:id="rId43"/>
          <w:headerReference w:type="default" r:id="rId44"/>
          <w:footerReference w:type="default" r:id="rId45"/>
          <w:headerReference w:type="first" r:id="rId46"/>
          <w:pgSz w:w="11906" w:h="16838" w:code="9"/>
          <w:pgMar w:top="1440" w:right="1418" w:bottom="1701" w:left="2007" w:header="720" w:footer="720" w:gutter="0"/>
          <w:pgNumType w:start="1"/>
          <w:cols w:space="708"/>
          <w:docGrid w:linePitch="360"/>
        </w:sectPr>
      </w:pPr>
    </w:p>
    <w:p w:rsidR="00260294" w:rsidRPr="00A2772C" w:rsidRDefault="00BE7ED1" w:rsidP="00260294"/>
    <w:sectPr w:rsidR="00260294" w:rsidRPr="00A2772C" w:rsidSect="004571A8">
      <w:headerReference w:type="even" r:id="rId47"/>
      <w:headerReference w:type="default" r:id="rId48"/>
      <w:footerReference w:type="default" r:id="rId49"/>
      <w:headerReference w:type="first" r:id="rId50"/>
      <w:type w:val="evenPage"/>
      <w:pgSz w:w="11906" w:h="16838" w:code="9"/>
      <w:pgMar w:top="2092" w:right="1418" w:bottom="1701" w:left="1021" w:header="1588" w:footer="72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E">
      <wne:macro wne:macroName="TEMPLATEPROJECT.MODSTYLEDEFINE.APPLYNUMBEREDPARAGRAPH"/>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E7ED1">
      <w:pPr>
        <w:spacing w:before="0" w:after="0" w:line="240" w:lineRule="auto"/>
      </w:pPr>
      <w:r>
        <w:separator/>
      </w:r>
    </w:p>
  </w:endnote>
  <w:endnote w:type="continuationSeparator" w:id="0">
    <w:p w:rsidR="00000000" w:rsidRDefault="00BE7E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Pr="00773A62" w:rsidRDefault="00BE7ED1" w:rsidP="00BC1729">
    <w:pPr>
      <w:pStyle w:val="Footer"/>
      <w:spacing w:line="220" w:lineRule="atLea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Pr="00152F9A" w:rsidRDefault="00BE7ED1" w:rsidP="00152F9A">
    <w:pPr>
      <w:pStyle w:val="Footer"/>
      <w:spacing w:line="220" w:lineRule="atLeast"/>
      <w:ind w:left="3504"/>
    </w:pPr>
    <w:r w:rsidRPr="00DC69FD">
      <w:rPr>
        <w:lang w:val="en-US"/>
      </w:rPr>
      <w:t xml:space="preserve">Steer Davies Gleave has prepared this material for </w:t>
    </w:r>
    <w:sdt>
      <w:sdtPr>
        <w:rPr>
          <w:lang w:val="en-US"/>
        </w:rPr>
        <w:alias w:val="Company"/>
        <w:id w:val="-451638293"/>
        <w:placeholder>
          <w:docPart w:val="3E84D12AB09F4E529FF8306A8C51236E"/>
        </w:placeholder>
        <w:dataBinding w:prefixMappings="xmlns:ns0='http://schemas.openxmlformats.org/officeDocument/2006/extended-properties' " w:xpath="/ns0:Properties[1]/ns0:Company[1]" w:storeItemID="{6668398D-A668-4E3E-A5EB-62B293D839F1}"/>
        <w:text/>
      </w:sdtPr>
      <w:sdtEndPr/>
      <w:sdtContent>
        <w:r>
          <w:rPr>
            <w:lang w:val="en-US"/>
          </w:rPr>
          <w:t>Lancashire Enterprise Partnership</w:t>
        </w:r>
      </w:sdtContent>
    </w:sdt>
    <w:r w:rsidRPr="00DC69FD">
      <w:rPr>
        <w:lang w:val="en-US"/>
      </w:rPr>
      <w:t>. This material may only be used within the context and scope for which Steer Davies Gleave has prepared it and may not be relied upon in part or whole by any third party</w:t>
    </w:r>
    <w:r w:rsidRPr="00DC69FD">
      <w:rPr>
        <w:lang w:val="en-US"/>
      </w:rPr>
      <w:t xml:space="preserve"> or be used for any other purpose. Any person choosing to use any part of this material without the express and written permission of Steer Davies Gleave shall be deemed to confirm their agreement to indemnify Steer Davies Gleave for all loss or damage res</w:t>
    </w:r>
    <w:r w:rsidRPr="00DC69FD">
      <w:rPr>
        <w:lang w:val="en-US"/>
      </w:rPr>
      <w:t>ulting therefrom. Steer Davies Gleave has prepared this material using professional practices and procedures using information available to it at the time and as such any new information could alter the validity of the results and conclusions made.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Footer"/>
    </w:pPr>
    <w:r>
      <w:rPr>
        <w:noProof/>
        <w:lang w:eastAsia="en-GB"/>
      </w:rPr>
      <w:drawing>
        <wp:inline distT="0" distB="0" distL="0" distR="0">
          <wp:extent cx="1080000" cy="24863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37333" name="sdgED_logo_DRAFT-01.png"/>
                  <pic:cNvPicPr/>
                </pic:nvPicPr>
                <pic:blipFill rotWithShape="1">
                  <a:blip r:embed="rId1" cstate="print">
                    <a:extLst>
                      <a:ext uri="{28A0092B-C50C-407E-A947-70E740481C1C}">
                        <a14:useLocalDpi xmlns:a14="http://schemas.microsoft.com/office/drawing/2010/main" val="0"/>
                      </a:ext>
                    </a:extLst>
                  </a:blip>
                  <a:srcRect l="14575" t="32203" r="14411" b="32121"/>
                  <a:stretch>
                    <a:fillRect/>
                  </a:stretch>
                </pic:blipFill>
                <pic:spPr bwMode="auto">
                  <a:xfrm>
                    <a:off x="0" y="0"/>
                    <a:ext cx="1080000" cy="248633"/>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sdt>
      <w:sdtPr>
        <w:id w:val="-1515907355"/>
        <w:dataBinding w:xpath="/root[1]/Publication[1]" w:storeItemID="{2FFE2CD3-62F3-4FBE-BE43-75DDB2D9F79B}"/>
        <w:text/>
      </w:sdtPr>
      <w:sdtEndPr/>
      <w:sdtContent>
        <w:r>
          <w:t>14 March 2018</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444572"/>
      <w:docPartObj>
        <w:docPartGallery w:val="Page Numbers (Bottom of Page)"/>
        <w:docPartUnique/>
      </w:docPartObj>
    </w:sdtPr>
    <w:sdtEndPr>
      <w:rPr>
        <w:noProof/>
      </w:rPr>
    </w:sdtEndPr>
    <w:sdtContent>
      <w:p w:rsidR="005D059C" w:rsidRDefault="00BE7ED1">
        <w:pPr>
          <w:pStyle w:val="Footer"/>
          <w:jc w:val="right"/>
        </w:pPr>
        <w:sdt>
          <w:sdtPr>
            <w:id w:val="-1883707033"/>
            <w:dataBinding w:xpath="/root[1]/Publication[1]" w:storeItemID="{2FFE2CD3-62F3-4FBE-BE43-75DDB2D9F79B}"/>
            <w:text/>
          </w:sdtPr>
          <w:sdtEndPr/>
          <w:sdtContent>
            <w:r>
              <w:t>14 March 2018</w:t>
            </w:r>
          </w:sdtContent>
        </w:sdt>
        <w:r>
          <w:t xml:space="preserve"> | </w:t>
        </w:r>
        <w:r>
          <w:fldChar w:fldCharType="begin"/>
        </w:r>
        <w:r>
          <w:instrText xml:space="preserve"> page </w:instrText>
        </w:r>
        <w:r>
          <w:fldChar w:fldCharType="separate"/>
        </w:r>
        <w:r>
          <w:rPr>
            <w:noProof/>
          </w:rPr>
          <w:t>2</w:t>
        </w:r>
        <w: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rsidP="00B034FD">
    <w:pPr>
      <w:pStyle w:val="Path"/>
    </w:pPr>
    <w:r>
      <w:rPr>
        <w:lang w:eastAsia="en-GB"/>
      </w:rPr>
      <w:drawing>
        <wp:anchor distT="0" distB="0" distL="114300" distR="114300" simplePos="0" relativeHeight="251659264" behindDoc="0" locked="0" layoutInCell="1" allowOverlap="1">
          <wp:simplePos x="0" y="0"/>
          <wp:positionH relativeFrom="column">
            <wp:posOffset>4069080</wp:posOffset>
          </wp:positionH>
          <wp:positionV relativeFrom="paragraph">
            <wp:posOffset>-653415</wp:posOffset>
          </wp:positionV>
          <wp:extent cx="770255" cy="742950"/>
          <wp:effectExtent l="0" t="0" r="0" b="0"/>
          <wp:wrapSquare wrapText="bothSides"/>
          <wp:docPr id="2001006916" name="Picture 1"/>
          <wp:cNvGraphicFramePr/>
          <a:graphic xmlns:a="http://schemas.openxmlformats.org/drawingml/2006/main">
            <a:graphicData uri="http://schemas.openxmlformats.org/drawingml/2006/picture">
              <pic:pic xmlns:pic="http://schemas.openxmlformats.org/drawingml/2006/picture">
                <pic:nvPicPr>
                  <pic:cNvPr id="1431103920"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70255" cy="742950"/>
                  </a:xfrm>
                  <a:prstGeom prst="rect">
                    <a:avLst/>
                  </a:prstGeom>
                </pic:spPr>
              </pic:pic>
            </a:graphicData>
          </a:graphic>
          <wp14:sizeRelH relativeFrom="page">
            <wp14:pctWidth>0</wp14:pctWidth>
          </wp14:sizeRelH>
          <wp14:sizeRelV relativeFrom="page">
            <wp14:pctHeight>0</wp14:pctHeight>
          </wp14:sizeRelV>
        </wp:anchor>
      </w:drawing>
    </w:r>
    <w:r w:rsidRPr="00254CD6">
      <w:rPr>
        <w:lang w:eastAsia="en-GB"/>
      </w:rPr>
      <w:drawing>
        <wp:anchor distT="0" distB="0" distL="114300" distR="114300" simplePos="0" relativeHeight="251658240" behindDoc="0" locked="0" layoutInCell="1" allowOverlap="1">
          <wp:simplePos x="0" y="0"/>
          <wp:positionH relativeFrom="margin">
            <wp:posOffset>4379595</wp:posOffset>
          </wp:positionH>
          <wp:positionV relativeFrom="page">
            <wp:posOffset>9013825</wp:posOffset>
          </wp:positionV>
          <wp:extent cx="1038860" cy="793750"/>
          <wp:effectExtent l="0" t="0" r="889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66271" name="ukas.png"/>
                  <pic:cNvPicPr/>
                </pic:nvPicPr>
                <pic:blipFill>
                  <a:blip r:embed="rId2">
                    <a:extLst>
                      <a:ext uri="{28A0092B-C50C-407E-A947-70E740481C1C}">
                        <a14:useLocalDpi xmlns:a14="http://schemas.microsoft.com/office/drawing/2010/main" val="0"/>
                      </a:ext>
                    </a:extLst>
                  </a:blip>
                  <a:stretch>
                    <a:fillRect/>
                  </a:stretch>
                </pic:blipFill>
                <pic:spPr>
                  <a:xfrm>
                    <a:off x="0" y="0"/>
                    <a:ext cx="1038860" cy="79375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fldChar w:fldCharType="begin"/>
    </w:r>
    <w:r>
      <w:instrText xml:space="preserve"> FILENAME  \p  \* MERGEFORMAT </w:instrText>
    </w:r>
    <w:r>
      <w:fldChar w:fldCharType="separate"/>
    </w:r>
    <w:r>
      <w:t>C:\Users\awalker031\AppData\Local\Microsoft\Windows\Temporary Internet Files\Content.Outlook\UOU71MQP\Lancashire Innovation Plan Report - FINAL - FINAL (002).docx</w:t>
    </w:r>
    <w:r>
      <w:fldChar w:fldCharType="end"/>
    </w:r>
  </w:p>
  <w:p w:rsidR="005D059C" w:rsidRDefault="00BE7ED1">
    <w:pPr>
      <w:pStyle w:val="Footer"/>
    </w:pPr>
    <w:r>
      <w:rPr>
        <w:noProof/>
        <w:lang w:eastAsia="en-GB"/>
      </w:rPr>
      <w:drawing>
        <wp:inline distT="0" distB="0" distL="0" distR="0">
          <wp:extent cx="1080000" cy="24863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69834" name="sdgED_logo_DRAFT-01.png"/>
                  <pic:cNvPicPr/>
                </pic:nvPicPr>
                <pic:blipFill rotWithShape="1">
                  <a:blip r:embed="rId3" cstate="print">
                    <a:extLst>
                      <a:ext uri="{28A0092B-C50C-407E-A947-70E740481C1C}">
                        <a14:useLocalDpi xmlns:a14="http://schemas.microsoft.com/office/drawing/2010/main" val="0"/>
                      </a:ext>
                    </a:extLst>
                  </a:blip>
                  <a:srcRect l="14575" t="32203" r="14411" b="32121"/>
                  <a:stretch>
                    <a:fillRect/>
                  </a:stretch>
                </pic:blipFill>
                <pic:spPr bwMode="auto">
                  <a:xfrm>
                    <a:off x="0" y="0"/>
                    <a:ext cx="1080000" cy="248633"/>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r>
      <w:fldChar w:fldCharType="begin"/>
    </w:r>
    <w:r>
      <w:instrText xml:space="preserve"> STYLEREF  "CS Title" \l</w:instrText>
    </w:r>
    <w:r>
      <w:fldChar w:fldCharType="separate"/>
    </w:r>
    <w:r>
      <w:rPr>
        <w:noProof/>
      </w:rPr>
      <w:t>Control Information</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Pr="00D22C9B" w:rsidRDefault="00BE7ED1" w:rsidP="00B17830">
    <w:pPr>
      <w:pStyle w:val="FooterBackPage"/>
    </w:pPr>
    <w:r>
      <w:rPr>
        <w:noProof/>
        <w:lang w:eastAsia="en-GB"/>
      </w:rPr>
      <w:drawing>
        <wp:inline distT="0" distB="0" distL="0" distR="0">
          <wp:extent cx="1080000" cy="24863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0712" name="sdgED_logo_DRAFT-01.png"/>
                  <pic:cNvPicPr/>
                </pic:nvPicPr>
                <pic:blipFill rotWithShape="1">
                  <a:blip r:embed="rId1" cstate="print">
                    <a:extLst>
                      <a:ext uri="{28A0092B-C50C-407E-A947-70E740481C1C}">
                        <a14:useLocalDpi xmlns:a14="http://schemas.microsoft.com/office/drawing/2010/main" val="0"/>
                      </a:ext>
                    </a:extLst>
                  </a:blip>
                  <a:srcRect l="14575" t="32203" r="14411" b="32121"/>
                  <a:stretch>
                    <a:fillRect/>
                  </a:stretch>
                </pic:blipFill>
                <pic:spPr bwMode="auto">
                  <a:xfrm>
                    <a:off x="0" y="0"/>
                    <a:ext cx="1080000" cy="248633"/>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r w:rsidRPr="003F05C5">
      <w:t xml:space="preserve"> </w:t>
    </w:r>
    <w:r w:rsidRPr="003F05C5">
      <w:rPr>
        <w:b/>
        <w:color w:val="57626E" w:themeColor="background2"/>
      </w:rPr>
      <w:t>sdgED.co</w:t>
    </w:r>
    <w:r>
      <w:rPr>
        <w:b/>
        <w:color w:val="57626E" w:themeColor="background2"/>
      </w:rPr>
      <w:t>m</w:t>
    </w:r>
    <w:r>
      <w:rPr>
        <w:noProof/>
        <w:lang w:eastAsia="en-GB" w:bidi="hi-IN"/>
      </w:rPr>
      <w:t xml:space="preserve"> </w:t>
    </w:r>
    <w:r>
      <w:rPr>
        <w:noProof/>
        <w:lang w:eastAsia="en-GB"/>
      </w:rPr>
      <mc:AlternateContent>
        <mc:Choice Requires="wps">
          <w:drawing>
            <wp:anchor distT="0" distB="0" distL="114300" distR="114300" simplePos="0" relativeHeight="251660288" behindDoc="1" locked="1" layoutInCell="1" allowOverlap="1">
              <wp:simplePos x="0" y="0"/>
              <wp:positionH relativeFrom="page">
                <wp:align>left</wp:align>
              </wp:positionH>
              <wp:positionV relativeFrom="page">
                <wp:align>top</wp:align>
              </wp:positionV>
              <wp:extent cx="7558560" cy="9726480"/>
              <wp:effectExtent l="0" t="0" r="4445" b="8255"/>
              <wp:wrapNone/>
              <wp:docPr id="28" name="Rectangle 28"/>
              <wp:cNvGraphicFramePr/>
              <a:graphic xmlns:a="http://schemas.openxmlformats.org/drawingml/2006/main">
                <a:graphicData uri="http://schemas.microsoft.com/office/word/2010/wordprocessingShape">
                  <wps:wsp>
                    <wps:cNvSpPr/>
                    <wps:spPr>
                      <a:xfrm>
                        <a:off x="0" y="0"/>
                        <a:ext cx="7558560" cy="97264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2049" style="width:595.15pt;height:765.85pt;margin-top:0;margin-left:0;mso-height-percent:0;mso-height-relative:margin;mso-position-horizontal:left;mso-position-horizontal-relative:page;mso-position-vertical:top;mso-position-vertical-relative:page;mso-width-percent:0;mso-width-relative:margin;mso-wrap-distance-bottom:0;mso-wrap-distance-left:9pt;mso-wrap-distance-right:9pt;mso-wrap-distance-top:0;mso-wrap-style:square;position:absolute;visibility:visible;v-text-anchor:middle;z-index:-251655168" fillcolor="#57626e" stroked="f" strokeweight="2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59C" w:rsidRDefault="00BE7ED1" w:rsidP="00397A4D">
      <w:pPr>
        <w:spacing w:after="0" w:line="240" w:lineRule="auto"/>
      </w:pPr>
      <w:r>
        <w:separator/>
      </w:r>
    </w:p>
  </w:footnote>
  <w:footnote w:type="continuationSeparator" w:id="0">
    <w:p w:rsidR="005D059C" w:rsidRDefault="00BE7ED1" w:rsidP="00397A4D">
      <w:pPr>
        <w:spacing w:after="0" w:line="240" w:lineRule="auto"/>
      </w:pPr>
      <w:r>
        <w:continuationSeparator/>
      </w:r>
    </w:p>
  </w:footnote>
  <w:footnote w:type="continuationNotice" w:id="1">
    <w:p w:rsidR="005D059C" w:rsidRDefault="00BE7ED1">
      <w:pPr>
        <w:spacing w:before="0" w:after="0" w:line="240" w:lineRule="auto"/>
      </w:pPr>
    </w:p>
  </w:footnote>
  <w:footnote w:id="2">
    <w:p w:rsidR="005D059C" w:rsidRDefault="00BE7ED1">
      <w:pPr>
        <w:pStyle w:val="FootnoteText"/>
      </w:pPr>
      <w:r>
        <w:rPr>
          <w:rStyle w:val="FootnoteReference"/>
        </w:rPr>
        <w:footnoteRef/>
      </w:r>
      <w:r>
        <w:t xml:space="preserve"> A detailed SWOT assessment in the form of an extended PowerPoint presentation is available on request from Andy Walker, at Lancashire Local Enterprise Partnership.</w:t>
      </w:r>
    </w:p>
  </w:footnote>
  <w:footnote w:id="3">
    <w:p w:rsidR="005D059C" w:rsidRPr="00956A54" w:rsidRDefault="00BE7ED1">
      <w:pPr>
        <w:pStyle w:val="FootnoteText"/>
        <w:rPr>
          <w:i/>
        </w:rPr>
      </w:pPr>
      <w:r>
        <w:rPr>
          <w:rStyle w:val="FootnoteReference"/>
        </w:rPr>
        <w:footnoteRef/>
      </w:r>
      <w:r>
        <w:t xml:space="preserve"> Taken from Oxford Economics’ </w:t>
      </w:r>
      <w:r>
        <w:rPr>
          <w:i/>
        </w:rPr>
        <w:t>Grea</w:t>
      </w:r>
      <w:r>
        <w:rPr>
          <w:i/>
        </w:rPr>
        <w:t>ter Manchester Forecasting Model (GMFM)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ED1" w:rsidRPr="00BE7ED1" w:rsidRDefault="00BE7ED1" w:rsidP="00BE7ED1">
    <w:pPr>
      <w:pStyle w:val="Header"/>
      <w:jc w:val="right"/>
      <w:rPr>
        <w:rFonts w:ascii="Arial" w:hAnsi="Arial" w:cs="Arial"/>
        <w:sz w:val="28"/>
        <w:szCs w:val="28"/>
      </w:rPr>
    </w:pPr>
    <w:r>
      <w:rPr>
        <w:rFonts w:ascii="Arial" w:hAnsi="Arial" w:cs="Arial"/>
        <w:sz w:val="28"/>
        <w:szCs w:val="28"/>
      </w:rPr>
      <w:t>Appendix D</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Pr="00A11288" w:rsidRDefault="00BE7ED1" w:rsidP="00A112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Pr="002243C5" w:rsidRDefault="00BE7ED1" w:rsidP="002243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Pr="001A1380" w:rsidRDefault="00BE7ED1" w:rsidP="001A13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9C" w:rsidRDefault="00BE7ED1" w:rsidP="00CF185E">
    <w:pPr>
      <w:pStyle w:val="Header"/>
    </w:pPr>
    <w:sdt>
      <w:sdtPr>
        <w:alias w:val="Title"/>
        <w:id w:val="-1849709655"/>
        <w:dataBinding w:prefixMappings="xmlns:ns0='http://purl.org/dc/elements/1.1/' xmlns:ns1='http://schemas.openxmlformats.org/package/2006/metadata/core-properties' " w:xpath="/ns1:coreProperties[1]/ns0:title[1]" w:storeItemID="{6C3C8BC8-F283-45AE-878A-BAB7291924A1}"/>
        <w:text/>
      </w:sdtPr>
      <w:sdtEndPr/>
      <w:sdtContent>
        <w:r>
          <w:t>The Lancashire Innovation Plan</w:t>
        </w:r>
      </w:sdtContent>
    </w:sdt>
    <w:r>
      <w:t xml:space="preserve"> | </w:t>
    </w:r>
    <w:sdt>
      <w:sdtPr>
        <w:alias w:val="Type"/>
        <w:id w:val="-644969141"/>
        <w:dataBinding w:prefixMappings="xmlns:ns0='http://purl.org/dc/elements/1.1/' xmlns:ns1='http://schemas.openxmlformats.org/package/2006/metadata/core-properties' " w:xpath="/ns1:coreProperties[1]/ns1:category[1]" w:storeItemID="{6C3C8BC8-F283-45AE-878A-BAB7291924A1}"/>
        <w:text/>
      </w:sdtPr>
      <w:sdtEndPr/>
      <w:sdtContent>
        <w:r>
          <w:t>A Final Report</w:t>
        </w:r>
      </w:sdtContent>
    </w:sdt>
  </w:p>
  <w:p w:rsidR="005D059C" w:rsidRDefault="00BE7ED1" w:rsidP="004B7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0BDE9F8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6C6902"/>
    <w:multiLevelType w:val="multilevel"/>
    <w:tmpl w:val="CFB6F6D0"/>
    <w:styleLink w:val="SDGListNumbers"/>
    <w:lvl w:ilvl="0">
      <w:start w:val="1"/>
      <w:numFmt w:val="decimal"/>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9C2306"/>
    <w:multiLevelType w:val="multilevel"/>
    <w:tmpl w:val="52D2921E"/>
    <w:lvl w:ilvl="0">
      <w:start w:val="1"/>
      <w:numFmt w:val="bullet"/>
      <w:pStyle w:val="ListBullet"/>
      <w:lvlText w:val=""/>
      <w:lvlJc w:val="left"/>
      <w:pPr>
        <w:ind w:left="397" w:hanging="397"/>
      </w:pPr>
      <w:rPr>
        <w:rFonts w:ascii="Symbol" w:hAnsi="Symbol" w:hint="default"/>
        <w:color w:val="009483" w:themeColor="text2"/>
      </w:rPr>
    </w:lvl>
    <w:lvl w:ilvl="1">
      <w:start w:val="1"/>
      <w:numFmt w:val="bullet"/>
      <w:pStyle w:val="ListBullet2"/>
      <w:lvlText w:val=""/>
      <w:lvlJc w:val="left"/>
      <w:pPr>
        <w:ind w:left="794" w:hanging="397"/>
      </w:pPr>
      <w:rPr>
        <w:rFonts w:ascii="Symbol" w:hAnsi="Symbol" w:hint="default"/>
        <w:color w:val="57626E" w:themeColor="background2"/>
      </w:rPr>
    </w:lvl>
    <w:lvl w:ilvl="2">
      <w:start w:val="1"/>
      <w:numFmt w:val="bullet"/>
      <w:pStyle w:val="ListBullet3"/>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8" w15:restartNumberingAfterBreak="0">
    <w:nsid w:val="0CC64CE9"/>
    <w:multiLevelType w:val="multilevel"/>
    <w:tmpl w:val="A320ABD6"/>
    <w:lvl w:ilvl="0">
      <w:start w:val="1"/>
      <w:numFmt w:val="bullet"/>
      <w:lvlText w:val=""/>
      <w:lvlJc w:val="left"/>
      <w:pPr>
        <w:ind w:left="397" w:hanging="397"/>
      </w:pPr>
      <w:rPr>
        <w:rFonts w:ascii="Symbol" w:hAnsi="Symbol" w:hint="default"/>
        <w:color w:val="009483" w:themeColor="text2"/>
      </w:rPr>
    </w:lvl>
    <w:lvl w:ilvl="1">
      <w:start w:val="1"/>
      <w:numFmt w:val="bullet"/>
      <w:lvlText w:val="o"/>
      <w:lvlJc w:val="left"/>
      <w:pPr>
        <w:ind w:left="794" w:hanging="397"/>
      </w:pPr>
      <w:rPr>
        <w:rFonts w:ascii="Courier New" w:hAnsi="Courier New" w:cs="Courier New" w:hint="default"/>
        <w:color w:val="57626E" w:themeColor="background2"/>
      </w:rPr>
    </w:lvl>
    <w:lvl w:ilvl="2">
      <w:start w:val="1"/>
      <w:numFmt w:val="bullet"/>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9" w15:restartNumberingAfterBreak="0">
    <w:nsid w:val="0DAB00DB"/>
    <w:multiLevelType w:val="hybridMultilevel"/>
    <w:tmpl w:val="7556EB7C"/>
    <w:name w:val="SDG Headings2222222"/>
    <w:lvl w:ilvl="0" w:tplc="3EF6B3E6">
      <w:start w:val="1"/>
      <w:numFmt w:val="upperLetter"/>
      <w:pStyle w:val="SDGEDExecSummBody"/>
      <w:lvlText w:val="%1."/>
      <w:lvlJc w:val="left"/>
      <w:pPr>
        <w:ind w:left="720" w:hanging="360"/>
      </w:pPr>
    </w:lvl>
    <w:lvl w:ilvl="1" w:tplc="EF46F02A" w:tentative="1">
      <w:start w:val="1"/>
      <w:numFmt w:val="lowerLetter"/>
      <w:lvlText w:val="%2."/>
      <w:lvlJc w:val="left"/>
      <w:pPr>
        <w:ind w:left="1440" w:hanging="360"/>
      </w:pPr>
    </w:lvl>
    <w:lvl w:ilvl="2" w:tplc="18700276" w:tentative="1">
      <w:start w:val="1"/>
      <w:numFmt w:val="lowerRoman"/>
      <w:lvlText w:val="%3."/>
      <w:lvlJc w:val="right"/>
      <w:pPr>
        <w:ind w:left="2160" w:hanging="180"/>
      </w:pPr>
    </w:lvl>
    <w:lvl w:ilvl="3" w:tplc="A8D694E6" w:tentative="1">
      <w:start w:val="1"/>
      <w:numFmt w:val="decimal"/>
      <w:lvlText w:val="%4."/>
      <w:lvlJc w:val="left"/>
      <w:pPr>
        <w:ind w:left="2880" w:hanging="360"/>
      </w:pPr>
    </w:lvl>
    <w:lvl w:ilvl="4" w:tplc="D1B8365E" w:tentative="1">
      <w:start w:val="1"/>
      <w:numFmt w:val="lowerLetter"/>
      <w:lvlText w:val="%5."/>
      <w:lvlJc w:val="left"/>
      <w:pPr>
        <w:ind w:left="3600" w:hanging="360"/>
      </w:pPr>
    </w:lvl>
    <w:lvl w:ilvl="5" w:tplc="1B00504A" w:tentative="1">
      <w:start w:val="1"/>
      <w:numFmt w:val="lowerRoman"/>
      <w:lvlText w:val="%6."/>
      <w:lvlJc w:val="right"/>
      <w:pPr>
        <w:ind w:left="4320" w:hanging="180"/>
      </w:pPr>
    </w:lvl>
    <w:lvl w:ilvl="6" w:tplc="B9DA9664" w:tentative="1">
      <w:start w:val="1"/>
      <w:numFmt w:val="decimal"/>
      <w:lvlText w:val="%7."/>
      <w:lvlJc w:val="left"/>
      <w:pPr>
        <w:ind w:left="5040" w:hanging="360"/>
      </w:pPr>
    </w:lvl>
    <w:lvl w:ilvl="7" w:tplc="02E67808" w:tentative="1">
      <w:start w:val="1"/>
      <w:numFmt w:val="lowerLetter"/>
      <w:lvlText w:val="%8."/>
      <w:lvlJc w:val="left"/>
      <w:pPr>
        <w:ind w:left="5760" w:hanging="360"/>
      </w:pPr>
    </w:lvl>
    <w:lvl w:ilvl="8" w:tplc="31F26998" w:tentative="1">
      <w:start w:val="1"/>
      <w:numFmt w:val="lowerRoman"/>
      <w:lvlText w:val="%9."/>
      <w:lvlJc w:val="right"/>
      <w:pPr>
        <w:ind w:left="6480" w:hanging="180"/>
      </w:pPr>
    </w:lvl>
  </w:abstractNum>
  <w:abstractNum w:abstractNumId="10" w15:restartNumberingAfterBreak="0">
    <w:nsid w:val="182A2AC8"/>
    <w:multiLevelType w:val="multilevel"/>
    <w:tmpl w:val="6CF69778"/>
    <w:styleLink w:val="SDGAppendixHeadings"/>
    <w:lvl w:ilvl="0">
      <w:start w:val="1"/>
      <w:numFmt w:val="upperLetter"/>
      <w:pStyle w:val="Heading7"/>
      <w:lvlText w:val="%1"/>
      <w:lvlJc w:val="left"/>
      <w:pPr>
        <w:ind w:left="851" w:hanging="851"/>
      </w:pPr>
      <w:rPr>
        <w:rFonts w:hint="default"/>
      </w:rPr>
    </w:lvl>
    <w:lvl w:ilvl="1">
      <w:start w:val="1"/>
      <w:numFmt w:val="decimal"/>
      <w:pStyle w:val="Heading8"/>
      <w:lvlText w:val="%1%2"/>
      <w:lvlJc w:val="left"/>
      <w:pPr>
        <w:ind w:left="0" w:hanging="851"/>
      </w:pPr>
      <w:rPr>
        <w:rFonts w:hint="default"/>
      </w:rPr>
    </w:lvl>
    <w:lvl w:ilvl="2">
      <w:start w:val="1"/>
      <w:numFmt w:val="decimal"/>
      <w:pStyle w:val="Heading9"/>
      <w:lvlText w:val="%1%2.%3"/>
      <w:lvlJc w:val="left"/>
      <w:pPr>
        <w:ind w:left="0" w:hanging="851"/>
      </w:pPr>
      <w:rPr>
        <w:rFonts w:hint="default"/>
      </w:rPr>
    </w:lvl>
    <w:lvl w:ilvl="3">
      <w:start w:val="1"/>
      <w:numFmt w:val="decimal"/>
      <w:lvlRestart w:val="1"/>
      <w:pStyle w:val="SDGAppendixListNumber"/>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1"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1376560"/>
    <w:multiLevelType w:val="multilevel"/>
    <w:tmpl w:val="CFB6F6D0"/>
    <w:numStyleLink w:val="SDGListNumbers"/>
  </w:abstractNum>
  <w:abstractNum w:abstractNumId="13"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602182B"/>
    <w:multiLevelType w:val="multilevel"/>
    <w:tmpl w:val="C61CA3BE"/>
    <w:lvl w:ilvl="0">
      <w:start w:val="1"/>
      <w:numFmt w:val="decimal"/>
      <w:lvlText w:val="%1"/>
      <w:lvlJc w:val="left"/>
      <w:pPr>
        <w:ind w:left="0" w:firstLine="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bullet"/>
      <w:lvlText w:val="o"/>
      <w:lvlJc w:val="left"/>
      <w:pPr>
        <w:ind w:left="0" w:hanging="85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596CFE"/>
    <w:multiLevelType w:val="multilevel"/>
    <w:tmpl w:val="2FB8F894"/>
    <w:lvl w:ilvl="0">
      <w:start w:val="1"/>
      <w:numFmt w:val="bullet"/>
      <w:lvlText w:val=""/>
      <w:lvlJc w:val="left"/>
      <w:pPr>
        <w:ind w:left="397" w:hanging="397"/>
      </w:pPr>
      <w:rPr>
        <w:rFonts w:ascii="Symbol" w:hAnsi="Symbol" w:hint="default"/>
        <w:color w:val="009483" w:themeColor="text2"/>
      </w:rPr>
    </w:lvl>
    <w:lvl w:ilvl="1">
      <w:start w:val="1"/>
      <w:numFmt w:val="bullet"/>
      <w:lvlText w:val="l"/>
      <w:lvlJc w:val="left"/>
      <w:pPr>
        <w:ind w:left="794" w:hanging="397"/>
      </w:pPr>
      <w:rPr>
        <w:rFonts w:ascii="Wingdings" w:hAnsi="Wingdings" w:hint="default"/>
        <w:color w:val="57626E" w:themeColor="background2"/>
      </w:rPr>
    </w:lvl>
    <w:lvl w:ilvl="2">
      <w:start w:val="1"/>
      <w:numFmt w:val="bullet"/>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6"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D70F7A"/>
    <w:multiLevelType w:val="multilevel"/>
    <w:tmpl w:val="52D2921E"/>
    <w:styleLink w:val="SDGBullets"/>
    <w:lvl w:ilvl="0">
      <w:start w:val="1"/>
      <w:numFmt w:val="bullet"/>
      <w:lvlText w:val=""/>
      <w:lvlJc w:val="left"/>
      <w:pPr>
        <w:ind w:left="397" w:hanging="397"/>
      </w:pPr>
      <w:rPr>
        <w:rFonts w:ascii="Symbol" w:hAnsi="Symbol" w:hint="default"/>
        <w:color w:val="009483" w:themeColor="text2"/>
      </w:rPr>
    </w:lvl>
    <w:lvl w:ilvl="1">
      <w:start w:val="1"/>
      <w:numFmt w:val="bullet"/>
      <w:lvlText w:val=""/>
      <w:lvlJc w:val="left"/>
      <w:pPr>
        <w:ind w:left="794" w:hanging="397"/>
      </w:pPr>
      <w:rPr>
        <w:rFonts w:ascii="Symbol" w:hAnsi="Symbol" w:hint="default"/>
        <w:color w:val="57626E" w:themeColor="background2"/>
      </w:rPr>
    </w:lvl>
    <w:lvl w:ilvl="2">
      <w:start w:val="1"/>
      <w:numFmt w:val="bullet"/>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8" w15:restartNumberingAfterBreak="0">
    <w:nsid w:val="6A3C3AB0"/>
    <w:multiLevelType w:val="multilevel"/>
    <w:tmpl w:val="684EF5FC"/>
    <w:lvl w:ilvl="0">
      <w:start w:val="1"/>
      <w:numFmt w:val="decimal"/>
      <w:lvlText w:val="%1"/>
      <w:lvlJc w:val="left"/>
      <w:pPr>
        <w:ind w:left="0" w:firstLine="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bullet"/>
      <w:lvlText w:val=""/>
      <w:lvlJc w:val="left"/>
      <w:pPr>
        <w:ind w:left="0" w:hanging="85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59645A3"/>
    <w:multiLevelType w:val="multilevel"/>
    <w:tmpl w:val="C0642EA0"/>
    <w:name w:val="SDG Headings"/>
    <w:lvl w:ilvl="0">
      <w:start w:val="1"/>
      <w:numFmt w:val="decimal"/>
      <w:pStyle w:val="Heading1"/>
      <w:lvlText w:val="%1"/>
      <w:lvlJc w:val="left"/>
      <w:pPr>
        <w:ind w:left="0" w:firstLine="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A555C57"/>
    <w:multiLevelType w:val="hybridMultilevel"/>
    <w:tmpl w:val="352ADEDC"/>
    <w:lvl w:ilvl="0" w:tplc="B3B84CBC">
      <w:start w:val="1"/>
      <w:numFmt w:val="bullet"/>
      <w:lvlText w:val=""/>
      <w:lvlJc w:val="left"/>
      <w:pPr>
        <w:ind w:left="360" w:hanging="360"/>
      </w:pPr>
      <w:rPr>
        <w:rFonts w:ascii="Symbol" w:hAnsi="Symbol" w:hint="default"/>
      </w:rPr>
    </w:lvl>
    <w:lvl w:ilvl="1" w:tplc="15FCA4EE" w:tentative="1">
      <w:start w:val="1"/>
      <w:numFmt w:val="bullet"/>
      <w:lvlText w:val="o"/>
      <w:lvlJc w:val="left"/>
      <w:pPr>
        <w:ind w:left="1080" w:hanging="360"/>
      </w:pPr>
      <w:rPr>
        <w:rFonts w:ascii="Courier New" w:hAnsi="Courier New" w:cs="Courier New" w:hint="default"/>
      </w:rPr>
    </w:lvl>
    <w:lvl w:ilvl="2" w:tplc="C9125B1A" w:tentative="1">
      <w:start w:val="1"/>
      <w:numFmt w:val="bullet"/>
      <w:lvlText w:val=""/>
      <w:lvlJc w:val="left"/>
      <w:pPr>
        <w:ind w:left="1800" w:hanging="360"/>
      </w:pPr>
      <w:rPr>
        <w:rFonts w:ascii="Wingdings" w:hAnsi="Wingdings" w:hint="default"/>
      </w:rPr>
    </w:lvl>
    <w:lvl w:ilvl="3" w:tplc="8EF85A92" w:tentative="1">
      <w:start w:val="1"/>
      <w:numFmt w:val="bullet"/>
      <w:lvlText w:val=""/>
      <w:lvlJc w:val="left"/>
      <w:pPr>
        <w:ind w:left="2520" w:hanging="360"/>
      </w:pPr>
      <w:rPr>
        <w:rFonts w:ascii="Symbol" w:hAnsi="Symbol" w:hint="default"/>
      </w:rPr>
    </w:lvl>
    <w:lvl w:ilvl="4" w:tplc="E8AC8CC0" w:tentative="1">
      <w:start w:val="1"/>
      <w:numFmt w:val="bullet"/>
      <w:lvlText w:val="o"/>
      <w:lvlJc w:val="left"/>
      <w:pPr>
        <w:ind w:left="3240" w:hanging="360"/>
      </w:pPr>
      <w:rPr>
        <w:rFonts w:ascii="Courier New" w:hAnsi="Courier New" w:cs="Courier New" w:hint="default"/>
      </w:rPr>
    </w:lvl>
    <w:lvl w:ilvl="5" w:tplc="0798CCFC" w:tentative="1">
      <w:start w:val="1"/>
      <w:numFmt w:val="bullet"/>
      <w:lvlText w:val=""/>
      <w:lvlJc w:val="left"/>
      <w:pPr>
        <w:ind w:left="3960" w:hanging="360"/>
      </w:pPr>
      <w:rPr>
        <w:rFonts w:ascii="Wingdings" w:hAnsi="Wingdings" w:hint="default"/>
      </w:rPr>
    </w:lvl>
    <w:lvl w:ilvl="6" w:tplc="6330BC2E" w:tentative="1">
      <w:start w:val="1"/>
      <w:numFmt w:val="bullet"/>
      <w:lvlText w:val=""/>
      <w:lvlJc w:val="left"/>
      <w:pPr>
        <w:ind w:left="4680" w:hanging="360"/>
      </w:pPr>
      <w:rPr>
        <w:rFonts w:ascii="Symbol" w:hAnsi="Symbol" w:hint="default"/>
      </w:rPr>
    </w:lvl>
    <w:lvl w:ilvl="7" w:tplc="C6EAABB6" w:tentative="1">
      <w:start w:val="1"/>
      <w:numFmt w:val="bullet"/>
      <w:lvlText w:val="o"/>
      <w:lvlJc w:val="left"/>
      <w:pPr>
        <w:ind w:left="5400" w:hanging="360"/>
      </w:pPr>
      <w:rPr>
        <w:rFonts w:ascii="Courier New" w:hAnsi="Courier New" w:cs="Courier New" w:hint="default"/>
      </w:rPr>
    </w:lvl>
    <w:lvl w:ilvl="8" w:tplc="0C7C4262" w:tentative="1">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16"/>
  </w:num>
  <w:num w:numId="4">
    <w:abstractNumId w:val="11"/>
  </w:num>
  <w:num w:numId="5">
    <w:abstractNumId w:val="13"/>
  </w:num>
  <w:num w:numId="6">
    <w:abstractNumId w:val="3"/>
  </w:num>
  <w:num w:numId="7">
    <w:abstractNumId w:val="2"/>
  </w:num>
  <w:num w:numId="8">
    <w:abstractNumId w:val="1"/>
  </w:num>
  <w:num w:numId="9">
    <w:abstractNumId w:val="0"/>
  </w:num>
  <w:num w:numId="10">
    <w:abstractNumId w:val="10"/>
  </w:num>
  <w:num w:numId="11">
    <w:abstractNumId w:val="6"/>
  </w:num>
  <w:num w:numId="12">
    <w:abstractNumId w:val="7"/>
  </w:num>
  <w:num w:numId="13">
    <w:abstractNumId w:val="12"/>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8"/>
  </w:num>
  <w:num w:numId="18">
    <w:abstractNumId w:val="14"/>
  </w:num>
  <w:num w:numId="19">
    <w:abstractNumId w:val="8"/>
  </w:num>
  <w:num w:numId="20">
    <w:abstractNumId w:val="15"/>
  </w:num>
  <w:num w:numId="21">
    <w:abstractNumId w:val="19"/>
  </w:num>
  <w:num w:numId="22">
    <w:abstractNumId w:val="20"/>
  </w:num>
  <w:num w:numId="23">
    <w:abstractNumId w:val="19"/>
  </w:num>
  <w:num w:numId="24">
    <w:abstractNumId w:val="19"/>
  </w:num>
  <w:num w:numId="25">
    <w:abstractNumId w:val="19"/>
  </w:num>
  <w:num w:numId="26">
    <w:abstractNumId w:val="19"/>
  </w:num>
  <w:num w:numId="27">
    <w:abstractNumId w:val="7"/>
  </w:num>
  <w:num w:numId="28">
    <w:abstractNumId w:val="19"/>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851"/>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MLOwNDYxMzcysDRX0lEKTi0uzszPAykwrAUAVft6jywAAAA="/>
    <w:docVar w:name="dgnword-docGUID" w:val="{612DBBCD-D505-4343-9D52-13D37BC9FD4F}"/>
    <w:docVar w:name="dgnword-eventsink" w:val="846666032"/>
  </w:docVars>
  <w:rsids>
    <w:rsidRoot w:val="00351F99"/>
    <w:rsid w:val="00351F99"/>
    <w:rsid w:val="00BE7ED1"/>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2B5639"/>
  <w15:docId w15:val="{605CF140-D234-45BC-99AA-C8049230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22"/>
        <w:szCs w:val="22"/>
        <w:lang w:val="en-GB" w:eastAsia="en-US" w:bidi="ar-SA"/>
      </w:rPr>
    </w:rPrDefault>
    <w:pPrDefault>
      <w:pPr>
        <w:spacing w:before="140" w:after="140" w:line="280" w:lineRule="atLeast"/>
      </w:pPr>
    </w:pPrDefault>
  </w:docDefaults>
  <w:latentStyles w:defLockedState="0" w:defUIPriority="99" w:defSemiHidden="0" w:defUnhideWhenUsed="0" w:defQFormat="0" w:count="371">
    <w:lsdException w:name="Normal" w:uiPriority="1"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lsdException w:name="heading 6" w:semiHidden="1" w:uiPriority="9" w:unhideWhenUsed="1"/>
    <w:lsdException w:name="heading 7" w:semiHidden="1" w:uiPriority="2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4"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185E"/>
  </w:style>
  <w:style w:type="paragraph" w:styleId="Heading1">
    <w:name w:val="heading 1"/>
    <w:aliases w:val="Chapter Hdg,Chapter Hdg Char,Char,Heading 1 Char Char Char,Heading 1 Char1 Char,Oscar Faber 1,Outline,SDP,Section,Section Char,Section Heading,Section Heading Char,chapter heading,chapter heading Char,chapter heading Char Char Char"/>
    <w:next w:val="Heading2"/>
    <w:link w:val="Heading1Char"/>
    <w:uiPriority w:val="4"/>
    <w:qFormat/>
    <w:rsid w:val="000703B6"/>
    <w:pPr>
      <w:keepNext/>
      <w:keepLines/>
      <w:pageBreakBefore/>
      <w:framePr w:wrap="notBeside" w:vAnchor="text" w:hAnchor="text" w:x="-850" w:y="1"/>
      <w:numPr>
        <w:numId w:val="14"/>
      </w:numPr>
      <w:spacing w:before="2240" w:after="280" w:line="560" w:lineRule="exact"/>
      <w:ind w:left="900" w:hanging="900"/>
      <w:outlineLvl w:val="0"/>
    </w:pPr>
    <w:rPr>
      <w:rFonts w:asciiTheme="majorHAnsi" w:eastAsiaTheme="majorEastAsia" w:hAnsiTheme="majorHAnsi" w:cstheme="majorBidi"/>
      <w:bCs/>
      <w:sz w:val="56"/>
      <w:szCs w:val="28"/>
    </w:rPr>
  </w:style>
  <w:style w:type="paragraph" w:styleId="Heading2">
    <w:name w:val="heading 2"/>
    <w:next w:val="NormalNumbered"/>
    <w:link w:val="Heading2Char"/>
    <w:uiPriority w:val="5"/>
    <w:unhideWhenUsed/>
    <w:qFormat/>
    <w:rsid w:val="00387BF2"/>
    <w:pPr>
      <w:keepNext/>
      <w:keepLines/>
      <w:numPr>
        <w:ilvl w:val="1"/>
        <w:numId w:val="14"/>
      </w:numPr>
      <w:spacing w:line="280" w:lineRule="exact"/>
      <w:outlineLvl w:val="1"/>
    </w:pPr>
    <w:rPr>
      <w:rFonts w:asciiTheme="majorHAnsi" w:eastAsiaTheme="majorEastAsia" w:hAnsiTheme="majorHAnsi" w:cstheme="majorBidi"/>
      <w:b/>
      <w:bCs/>
      <w:color w:val="009483" w:themeColor="text2"/>
      <w:sz w:val="28"/>
      <w:szCs w:val="26"/>
    </w:rPr>
  </w:style>
  <w:style w:type="paragraph" w:styleId="Heading3">
    <w:name w:val="heading 3"/>
    <w:aliases w:val="CV_Heading 3,SDP_Heading 3"/>
    <w:next w:val="NormalNumbered"/>
    <w:link w:val="Heading3Char"/>
    <w:uiPriority w:val="6"/>
    <w:qFormat/>
    <w:rsid w:val="006D5F62"/>
    <w:pPr>
      <w:keepNext/>
      <w:keepLines/>
      <w:numPr>
        <w:ilvl w:val="2"/>
        <w:numId w:val="14"/>
      </w:numPr>
      <w:spacing w:line="280" w:lineRule="exact"/>
      <w:outlineLvl w:val="2"/>
    </w:pPr>
    <w:rPr>
      <w:rFonts w:asciiTheme="majorHAnsi" w:eastAsiaTheme="majorEastAsia" w:hAnsiTheme="majorHAnsi" w:cstheme="majorBidi"/>
      <w:b/>
      <w:bCs/>
    </w:rPr>
  </w:style>
  <w:style w:type="paragraph" w:styleId="Heading4">
    <w:name w:val="heading 4"/>
    <w:next w:val="NormalNumbered"/>
    <w:link w:val="Heading4Char"/>
    <w:uiPriority w:val="7"/>
    <w:unhideWhenUsed/>
    <w:qFormat/>
    <w:rsid w:val="00B67526"/>
    <w:pPr>
      <w:keepNext/>
      <w:keepLines/>
      <w:spacing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6B6B6B"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6B6B6B" w:themeColor="accent1" w:themeShade="7F"/>
    </w:rPr>
  </w:style>
  <w:style w:type="paragraph" w:styleId="Heading7">
    <w:name w:val="heading 7"/>
    <w:aliases w:val="Appendix 1"/>
    <w:next w:val="Appendix2n"/>
    <w:link w:val="Heading7Char"/>
    <w:uiPriority w:val="20"/>
    <w:unhideWhenUsed/>
    <w:qFormat/>
    <w:rsid w:val="00AE28E3"/>
    <w:pPr>
      <w:keepNext/>
      <w:keepLines/>
      <w:pageBreakBefore/>
      <w:framePr w:wrap="notBeside" w:vAnchor="text" w:hAnchor="text" w:x="-850" w:y="1"/>
      <w:numPr>
        <w:numId w:val="10"/>
      </w:numPr>
      <w:spacing w:line="240" w:lineRule="auto"/>
      <w:ind w:left="850" w:hanging="850"/>
      <w:outlineLvl w:val="6"/>
    </w:pPr>
    <w:rPr>
      <w:rFonts w:asciiTheme="majorHAnsi" w:eastAsiaTheme="majorEastAsia" w:hAnsiTheme="majorHAnsi" w:cstheme="majorBidi"/>
      <w:iCs/>
      <w:noProof/>
      <w:sz w:val="56"/>
    </w:rPr>
  </w:style>
  <w:style w:type="paragraph" w:styleId="Heading8">
    <w:name w:val="heading 8"/>
    <w:aliases w:val="Appendix 2"/>
    <w:next w:val="Normal"/>
    <w:link w:val="Heading8Char"/>
    <w:uiPriority w:val="9"/>
    <w:semiHidden/>
    <w:unhideWhenUsed/>
    <w:rsid w:val="007A244D"/>
    <w:pPr>
      <w:keepNext/>
      <w:keepLines/>
      <w:numPr>
        <w:ilvl w:val="1"/>
        <w:numId w:val="10"/>
      </w:numPr>
      <w:outlineLvl w:val="7"/>
    </w:pPr>
    <w:rPr>
      <w:rFonts w:asciiTheme="majorHAnsi" w:eastAsiaTheme="majorEastAsia" w:hAnsiTheme="majorHAnsi" w:cstheme="majorBidi"/>
      <w:b/>
      <w:color w:val="009483" w:themeColor="text2"/>
      <w:sz w:val="28"/>
      <w:szCs w:val="20"/>
    </w:rPr>
  </w:style>
  <w:style w:type="paragraph" w:styleId="Heading9">
    <w:name w:val="heading 9"/>
    <w:aliases w:val="Appendix 3"/>
    <w:next w:val="Normal"/>
    <w:link w:val="Heading9Char"/>
    <w:uiPriority w:val="9"/>
    <w:semiHidden/>
    <w:unhideWhenUsed/>
    <w:rsid w:val="007A244D"/>
    <w:pPr>
      <w:keepNext/>
      <w:keepLines/>
      <w:numPr>
        <w:ilvl w:val="2"/>
        <w:numId w:val="10"/>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DGTableDefault">
    <w:name w:val="SDG Table Default"/>
    <w:basedOn w:val="TableNormal"/>
    <w:uiPriority w:val="18"/>
    <w:rsid w:val="00C04E50"/>
    <w:pPr>
      <w:spacing w:before="50" w:after="50" w:line="180" w:lineRule="atLeast"/>
    </w:pPr>
    <w:rPr>
      <w:sz w:val="18"/>
    </w:rPr>
    <w:tblPr>
      <w:tblStyleRowBandSize w:val="1"/>
      <w:tblBorders>
        <w:bottom w:val="single" w:sz="18" w:space="0" w:color="009483" w:themeColor="text2"/>
        <w:insideV w:val="single" w:sz="6" w:space="0" w:color="FFFFFF" w:themeColor="background1"/>
      </w:tblBorders>
    </w:tblPr>
    <w:trPr>
      <w:cantSplit/>
    </w:trPr>
    <w:tcPr>
      <w:vAlign w:val="center"/>
    </w:tcPr>
    <w:tblStylePr w:type="firstRow">
      <w:pPr>
        <w:keepNext/>
        <w:keepLines/>
        <w:wordWrap/>
      </w:pPr>
      <w:rPr>
        <w:b/>
        <w:color w:val="FFFFFF" w:themeColor="background1"/>
      </w:rPr>
      <w:tblPr/>
      <w:tcPr>
        <w:shd w:val="clear" w:color="auto" w:fill="009483" w:themeFill="text2"/>
      </w:tcPr>
    </w:tblStylePr>
    <w:tblStylePr w:type="lastRow">
      <w:rPr>
        <w:b/>
      </w:rPr>
      <w:tblPr/>
      <w:tcPr>
        <w:tcBorders>
          <w:top w:val="single" w:sz="4" w:space="0" w:color="009483" w:themeColor="text2"/>
          <w:left w:val="nil"/>
          <w:bottom w:val="single" w:sz="18" w:space="0" w:color="009483" w:themeColor="text2"/>
          <w:right w:val="nil"/>
          <w:insideH w:val="nil"/>
          <w:insideV w:val="nil"/>
          <w:tl2br w:val="nil"/>
          <w:tr2bl w:val="nil"/>
        </w:tcBorders>
      </w:tcPr>
    </w:tblStylePr>
    <w:tblStylePr w:type="firstCol">
      <w:pPr>
        <w:jc w:val="left"/>
      </w:pPr>
    </w:tblStylePr>
    <w:tblStylePr w:type="band1Horz">
      <w:tblPr/>
      <w:tcPr>
        <w:shd w:val="clear" w:color="auto" w:fill="CCEAE6" w:themeFill="accent5"/>
      </w:tcPr>
    </w:tblStylePr>
  </w:style>
  <w:style w:type="character" w:customStyle="1" w:styleId="Heading3Char">
    <w:name w:val="Heading 3 Char"/>
    <w:aliases w:val="CV_Heading 3 Char,SDP_Heading 3 Char"/>
    <w:basedOn w:val="DefaultParagraphFont"/>
    <w:link w:val="Heading3"/>
    <w:uiPriority w:val="6"/>
    <w:rsid w:val="006D5F62"/>
    <w:rPr>
      <w:rFonts w:asciiTheme="majorHAnsi" w:eastAsiaTheme="majorEastAsia" w:hAnsiTheme="majorHAnsi" w:cstheme="majorBidi"/>
      <w:b/>
      <w:bCs/>
      <w:lang w:val="en-GB"/>
    </w:rPr>
  </w:style>
  <w:style w:type="paragraph" w:styleId="Header">
    <w:name w:val="header"/>
    <w:link w:val="HeaderChar"/>
    <w:uiPriority w:val="99"/>
    <w:unhideWhenUsed/>
    <w:rsid w:val="006D5F62"/>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6D5F62"/>
    <w:rPr>
      <w:sz w:val="16"/>
      <w:lang w:val="en-GB"/>
    </w:rPr>
  </w:style>
  <w:style w:type="paragraph" w:styleId="Footer">
    <w:name w:val="footer"/>
    <w:link w:val="FooterChar"/>
    <w:uiPriority w:val="99"/>
    <w:unhideWhenUsed/>
    <w:rsid w:val="006D5F62"/>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6D5F62"/>
    <w:rPr>
      <w:sz w:val="16"/>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aliases w:val="Chapter Hdg Char1,Chapter Hdg Char Char,Char Char,Heading 1 Char Char Char Char,Heading 1 Char1 Char Char,Oscar Faber 1 Char,Outline Char,SDP Char,Section Char1,Section Char Char,Section Heading Char1,Section Heading Char Char"/>
    <w:basedOn w:val="DefaultParagraphFont"/>
    <w:link w:val="Heading1"/>
    <w:uiPriority w:val="4"/>
    <w:rsid w:val="000703B6"/>
    <w:rPr>
      <w:rFonts w:asciiTheme="majorHAnsi" w:eastAsiaTheme="majorEastAsia" w:hAnsiTheme="majorHAnsi" w:cstheme="majorBidi"/>
      <w:bCs/>
      <w:sz w:val="56"/>
      <w:szCs w:val="28"/>
    </w:rPr>
  </w:style>
  <w:style w:type="numbering" w:customStyle="1" w:styleId="SDGHeadings">
    <w:name w:val="SDG Headings"/>
    <w:uiPriority w:val="99"/>
    <w:semiHidden/>
    <w:rsid w:val="009F6554"/>
    <w:pPr>
      <w:numPr>
        <w:numId w:val="1"/>
      </w:numPr>
    </w:pPr>
  </w:style>
  <w:style w:type="character" w:customStyle="1" w:styleId="Heading2Char">
    <w:name w:val="Heading 2 Char"/>
    <w:basedOn w:val="DefaultParagraphFont"/>
    <w:link w:val="Heading2"/>
    <w:uiPriority w:val="5"/>
    <w:rsid w:val="00D0125D"/>
    <w:rPr>
      <w:rFonts w:asciiTheme="majorHAnsi" w:eastAsiaTheme="majorEastAsia" w:hAnsiTheme="majorHAnsi" w:cstheme="majorBidi"/>
      <w:b/>
      <w:bCs/>
      <w:color w:val="009483" w:themeColor="text2"/>
      <w:sz w:val="28"/>
      <w:szCs w:val="26"/>
      <w:lang w:val="en-GB"/>
    </w:rPr>
  </w:style>
  <w:style w:type="paragraph" w:styleId="ListBullet">
    <w:name w:val="List Bullet"/>
    <w:uiPriority w:val="9"/>
    <w:unhideWhenUsed/>
    <w:qFormat/>
    <w:rsid w:val="007B05CE"/>
    <w:pPr>
      <w:numPr>
        <w:numId w:val="12"/>
      </w:numPr>
      <w:spacing w:before="0" w:after="0"/>
      <w:contextualSpacing/>
    </w:pPr>
  </w:style>
  <w:style w:type="paragraph" w:styleId="ListBullet2">
    <w:name w:val="List Bullet 2"/>
    <w:uiPriority w:val="10"/>
    <w:unhideWhenUsed/>
    <w:qFormat/>
    <w:rsid w:val="007B05CE"/>
    <w:pPr>
      <w:numPr>
        <w:ilvl w:val="1"/>
        <w:numId w:val="12"/>
      </w:numPr>
      <w:spacing w:before="0" w:after="0"/>
      <w:contextualSpacing/>
    </w:pPr>
  </w:style>
  <w:style w:type="paragraph" w:styleId="ListBullet3">
    <w:name w:val="List Bullet 3"/>
    <w:uiPriority w:val="11"/>
    <w:unhideWhenUsed/>
    <w:qFormat/>
    <w:rsid w:val="007B05CE"/>
    <w:pPr>
      <w:numPr>
        <w:ilvl w:val="2"/>
        <w:numId w:val="12"/>
      </w:numPr>
      <w:spacing w:before="0" w:after="0"/>
      <w:contextualSpacing/>
    </w:pPr>
  </w:style>
  <w:style w:type="numbering" w:customStyle="1" w:styleId="SDGBullets">
    <w:name w:val="SDG Bullets"/>
    <w:uiPriority w:val="99"/>
    <w:semiHidden/>
    <w:rsid w:val="00A11C25"/>
    <w:pPr>
      <w:numPr>
        <w:numId w:val="2"/>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5"/>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6"/>
    <w:qFormat/>
    <w:rsid w:val="00FB5137"/>
    <w:pPr>
      <w:spacing w:after="280" w:line="220" w:lineRule="atLeast"/>
    </w:pPr>
    <w:rPr>
      <w:sz w:val="18"/>
    </w:rPr>
  </w:style>
  <w:style w:type="paragraph" w:styleId="TOCHeading">
    <w:name w:val="TOC Heading"/>
    <w:next w:val="Normal"/>
    <w:uiPriority w:val="39"/>
    <w:semiHidden/>
    <w:unhideWhenUsed/>
    <w:rsid w:val="00C967B7"/>
    <w:pPr>
      <w:keepNext/>
      <w:spacing w:after="0"/>
    </w:pPr>
    <w:rPr>
      <w:rFonts w:asciiTheme="majorHAnsi" w:eastAsiaTheme="majorEastAsia" w:hAnsiTheme="majorHAnsi" w:cstheme="majorBidi"/>
      <w:b/>
      <w:bCs/>
      <w:color w:val="009483" w:themeColor="text2"/>
      <w:sz w:val="28"/>
      <w:szCs w:val="28"/>
    </w:rPr>
  </w:style>
  <w:style w:type="paragraph" w:styleId="TOC1">
    <w:name w:val="toc 1"/>
    <w:uiPriority w:val="39"/>
    <w:unhideWhenUsed/>
    <w:rsid w:val="000226ED"/>
    <w:pPr>
      <w:tabs>
        <w:tab w:val="right" w:leader="dot" w:pos="8471"/>
      </w:tabs>
      <w:spacing w:before="280" w:after="0"/>
      <w:ind w:hanging="567"/>
    </w:pPr>
    <w:rPr>
      <w:b/>
    </w:rPr>
  </w:style>
  <w:style w:type="paragraph" w:styleId="TOC2">
    <w:name w:val="toc 2"/>
    <w:next w:val="Normal"/>
    <w:uiPriority w:val="39"/>
    <w:unhideWhenUsed/>
    <w:rsid w:val="006D5F62"/>
    <w:pPr>
      <w:spacing w:after="0"/>
    </w:pPr>
  </w:style>
  <w:style w:type="character" w:styleId="Hyperlink">
    <w:name w:val="Hyperlink"/>
    <w:basedOn w:val="DefaultParagraphFont"/>
    <w:uiPriority w:val="99"/>
    <w:unhideWhenUsed/>
    <w:rsid w:val="00A26814"/>
    <w:rPr>
      <w:b/>
      <w:color w:val="404040" w:themeColor="text1" w:themeTint="BF"/>
      <w:u w:val="single"/>
      <w:lang w:val="en-GB"/>
    </w:rPr>
  </w:style>
  <w:style w:type="paragraph" w:styleId="TableofFigures">
    <w:name w:val="table of figures"/>
    <w:next w:val="Normal"/>
    <w:uiPriority w:val="99"/>
    <w:unhideWhenUsed/>
    <w:rsid w:val="006D5F62"/>
    <w:pPr>
      <w:spacing w:after="0"/>
    </w:pPr>
  </w:style>
  <w:style w:type="paragraph" w:styleId="Title">
    <w:name w:val="Title"/>
    <w:next w:val="Normal"/>
    <w:link w:val="TitleChar"/>
    <w:uiPriority w:val="10"/>
    <w:semiHidden/>
    <w:rsid w:val="00B75BD1"/>
    <w:pPr>
      <w:spacing w:before="0" w:after="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semiHidden/>
    <w:rsid w:val="00B75BD1"/>
    <w:rPr>
      <w:rFonts w:asciiTheme="majorHAnsi" w:eastAsiaTheme="majorEastAsia" w:hAnsiTheme="majorHAnsi" w:cstheme="majorBidi"/>
      <w:spacing w:val="5"/>
      <w:kern w:val="28"/>
      <w:sz w:val="2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color w:val="auto"/>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7"/>
    <w:rsid w:val="00B67526"/>
    <w:rPr>
      <w:rFonts w:asciiTheme="majorHAnsi" w:eastAsiaTheme="majorEastAsia" w:hAnsiTheme="majorHAnsi" w:cstheme="majorBidi"/>
      <w:bCs/>
      <w:i/>
      <w:iCs/>
      <w:lang w:val="en-GB"/>
    </w:rPr>
  </w:style>
  <w:style w:type="character" w:customStyle="1" w:styleId="Heading5Char">
    <w:name w:val="Heading 5 Char"/>
    <w:basedOn w:val="DefaultParagraphFont"/>
    <w:link w:val="Heading5"/>
    <w:uiPriority w:val="9"/>
    <w:rsid w:val="00B91810"/>
    <w:rPr>
      <w:rFonts w:asciiTheme="majorHAnsi" w:eastAsiaTheme="majorEastAsia" w:hAnsiTheme="majorHAnsi" w:cstheme="majorBidi"/>
      <w:color w:val="6B6B6B"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6B6B6B" w:themeColor="accent1" w:themeShade="7F"/>
      <w:lang w:val="en-GB"/>
    </w:rPr>
  </w:style>
  <w:style w:type="character" w:customStyle="1" w:styleId="Heading7Char">
    <w:name w:val="Heading 7 Char"/>
    <w:aliases w:val="Appendix 1 Char"/>
    <w:basedOn w:val="DefaultParagraphFont"/>
    <w:link w:val="Heading7"/>
    <w:uiPriority w:val="20"/>
    <w:rsid w:val="00AE28E3"/>
    <w:rPr>
      <w:rFonts w:asciiTheme="majorHAnsi" w:eastAsiaTheme="majorEastAsia" w:hAnsiTheme="majorHAnsi" w:cstheme="majorBidi"/>
      <w:iCs/>
      <w:noProof/>
      <w:sz w:val="56"/>
    </w:rPr>
  </w:style>
  <w:style w:type="character" w:customStyle="1" w:styleId="Heading8Char">
    <w:name w:val="Heading 8 Char"/>
    <w:aliases w:val="Appendix 2 Char"/>
    <w:basedOn w:val="DefaultParagraphFont"/>
    <w:link w:val="Heading8"/>
    <w:uiPriority w:val="9"/>
    <w:semiHidden/>
    <w:rsid w:val="00494682"/>
    <w:rPr>
      <w:rFonts w:asciiTheme="majorHAnsi" w:eastAsiaTheme="majorEastAsia" w:hAnsiTheme="majorHAnsi" w:cstheme="majorBidi"/>
      <w:b/>
      <w:color w:val="009483" w:themeColor="text2"/>
      <w:sz w:val="28"/>
      <w:szCs w:val="20"/>
      <w:lang w:val="en-GB"/>
    </w:rPr>
  </w:style>
  <w:style w:type="character" w:customStyle="1" w:styleId="Heading9Char">
    <w:name w:val="Heading 9 Char"/>
    <w:aliases w:val="Appendix 3 Char"/>
    <w:basedOn w:val="DefaultParagraphFont"/>
    <w:link w:val="Heading9"/>
    <w:uiPriority w:val="9"/>
    <w:semiHidden/>
    <w:rsid w:val="00F43296"/>
    <w:rPr>
      <w:rFonts w:asciiTheme="majorHAnsi" w:eastAsiaTheme="majorEastAsia" w:hAnsiTheme="majorHAnsi" w:cstheme="majorBidi"/>
      <w:b/>
      <w:iCs/>
      <w:szCs w:val="20"/>
      <w:lang w:val="en-GB"/>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D8D8D8" w:themeColor="accent1" w:frame="1"/>
        <w:left w:val="single" w:sz="2" w:space="10" w:color="D8D8D8" w:themeColor="accent1" w:frame="1"/>
        <w:bottom w:val="single" w:sz="2" w:space="10" w:color="D8D8D8" w:themeColor="accent1" w:frame="1"/>
        <w:right w:val="single" w:sz="2" w:space="10" w:color="D8D8D8" w:themeColor="accent1" w:frame="1"/>
      </w:pBdr>
      <w:ind w:left="1152" w:right="1152"/>
    </w:pPr>
    <w:rPr>
      <w:rFonts w:eastAsiaTheme="minorEastAsia"/>
      <w:i/>
      <w:iCs/>
      <w:color w:val="D8D8D8" w:themeColor="accent1"/>
    </w:rPr>
  </w:style>
  <w:style w:type="paragraph" w:styleId="BodyText">
    <w:name w:val="Body Text"/>
    <w:basedOn w:val="Normal"/>
    <w:link w:val="BodyTextChar"/>
    <w:uiPriority w:val="99"/>
    <w:semiHidden/>
    <w:unhideWhenUsed/>
    <w:rsid w:val="00B91810"/>
    <w:pPr>
      <w:spacing w:after="120"/>
    </w:pPr>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after="120"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pPr>
      <w:spacing w:after="120"/>
    </w:pPr>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spacing w:after="120"/>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after="120"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7F7F7" w:themeFill="accent1" w:themeFillTint="33"/>
    </w:tcPr>
    <w:tblStylePr w:type="firstRow">
      <w:rPr>
        <w:b/>
        <w:bCs/>
      </w:rPr>
      <w:tblPr/>
      <w:tcPr>
        <w:shd w:val="clear" w:color="auto" w:fill="EFEFEF" w:themeFill="accent1" w:themeFillTint="66"/>
      </w:tcPr>
    </w:tblStylePr>
    <w:tblStylePr w:type="lastRow">
      <w:rPr>
        <w:b/>
        <w:bCs/>
        <w:color w:val="000000" w:themeColor="text1"/>
      </w:rPr>
      <w:tblPr/>
      <w:tcPr>
        <w:shd w:val="clear" w:color="auto" w:fill="EFEFEF" w:themeFill="accent1" w:themeFillTint="66"/>
      </w:tcPr>
    </w:tblStylePr>
    <w:tblStylePr w:type="firstCol">
      <w:rPr>
        <w:color w:val="FFFFFF" w:themeColor="background1"/>
      </w:rPr>
      <w:tblPr/>
      <w:tcPr>
        <w:shd w:val="clear" w:color="auto" w:fill="A1A1A1" w:themeFill="accent1" w:themeFillShade="BF"/>
      </w:tcPr>
    </w:tblStylePr>
    <w:tblStylePr w:type="lastCol">
      <w:rPr>
        <w:color w:val="FFFFFF" w:themeColor="background1"/>
      </w:rPr>
      <w:tblPr/>
      <w:tcPr>
        <w:shd w:val="clear" w:color="auto" w:fill="A1A1A1" w:themeFill="accent1" w:themeFillShade="BF"/>
      </w:tcPr>
    </w:tblStylePr>
    <w:tblStylePr w:type="band1Vert">
      <w:tblPr/>
      <w:tcPr>
        <w:shd w:val="clear" w:color="auto" w:fill="EBEBEB" w:themeFill="accent1" w:themeFillTint="7F"/>
      </w:tcPr>
    </w:tblStylePr>
    <w:tblStylePr w:type="band1Horz">
      <w:tblPr/>
      <w:tcPr>
        <w:shd w:val="clear" w:color="auto" w:fill="EBEBEB"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CECEE" w:themeFill="accent2" w:themeFillTint="33"/>
    </w:tcPr>
    <w:tblStylePr w:type="firstRow">
      <w:rPr>
        <w:b/>
        <w:bCs/>
      </w:rPr>
      <w:tblPr/>
      <w:tcPr>
        <w:shd w:val="clear" w:color="auto" w:fill="D9DADE" w:themeFill="accent2" w:themeFillTint="66"/>
      </w:tcPr>
    </w:tblStylePr>
    <w:tblStylePr w:type="lastRow">
      <w:rPr>
        <w:b/>
        <w:bCs/>
        <w:color w:val="000000" w:themeColor="text1"/>
      </w:rPr>
      <w:tblPr/>
      <w:tcPr>
        <w:shd w:val="clear" w:color="auto" w:fill="D9DADE" w:themeFill="accent2" w:themeFillTint="66"/>
      </w:tcPr>
    </w:tblStylePr>
    <w:tblStylePr w:type="firstCol">
      <w:rPr>
        <w:color w:val="FFFFFF" w:themeColor="background1"/>
      </w:rPr>
      <w:tblPr/>
      <w:tcPr>
        <w:shd w:val="clear" w:color="auto" w:fill="757985" w:themeFill="accent2" w:themeFillShade="BF"/>
      </w:tcPr>
    </w:tblStylePr>
    <w:tblStylePr w:type="lastCol">
      <w:rPr>
        <w:color w:val="FFFFFF" w:themeColor="background1"/>
      </w:rPr>
      <w:tblPr/>
      <w:tcPr>
        <w:shd w:val="clear" w:color="auto" w:fill="757985" w:themeFill="accent2" w:themeFillShade="BF"/>
      </w:tcPr>
    </w:tblStylePr>
    <w:tblStylePr w:type="band1Vert">
      <w:tblPr/>
      <w:tcPr>
        <w:shd w:val="clear" w:color="auto" w:fill="D0D2D6" w:themeFill="accent2" w:themeFillTint="7F"/>
      </w:tcPr>
    </w:tblStylePr>
    <w:tblStylePr w:type="band1Horz">
      <w:tblPr/>
      <w:tcPr>
        <w:shd w:val="clear" w:color="auto" w:fill="D0D2D6"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6FAFC" w:themeFill="accent3" w:themeFillTint="33"/>
    </w:tcPr>
    <w:tblStylePr w:type="firstRow">
      <w:rPr>
        <w:b/>
        <w:bCs/>
      </w:rPr>
      <w:tblPr/>
      <w:tcPr>
        <w:shd w:val="clear" w:color="auto" w:fill="EEF5F9" w:themeFill="accent3" w:themeFillTint="66"/>
      </w:tcPr>
    </w:tblStylePr>
    <w:tblStylePr w:type="lastRow">
      <w:rPr>
        <w:b/>
        <w:bCs/>
        <w:color w:val="000000" w:themeColor="text1"/>
      </w:rPr>
      <w:tblPr/>
      <w:tcPr>
        <w:shd w:val="clear" w:color="auto" w:fill="EEF5F9" w:themeFill="accent3" w:themeFillTint="66"/>
      </w:tcPr>
    </w:tblStylePr>
    <w:tblStylePr w:type="firstCol">
      <w:rPr>
        <w:color w:val="FFFFFF" w:themeColor="background1"/>
      </w:rPr>
      <w:tblPr/>
      <w:tcPr>
        <w:shd w:val="clear" w:color="auto" w:fill="7EB3D6" w:themeFill="accent3" w:themeFillShade="BF"/>
      </w:tcPr>
    </w:tblStylePr>
    <w:tblStylePr w:type="lastCol">
      <w:rPr>
        <w:color w:val="FFFFFF" w:themeColor="background1"/>
      </w:rPr>
      <w:tblPr/>
      <w:tcPr>
        <w:shd w:val="clear" w:color="auto" w:fill="7EB3D6" w:themeFill="accent3" w:themeFillShade="BF"/>
      </w:tcPr>
    </w:tblStylePr>
    <w:tblStylePr w:type="band1Vert">
      <w:tblPr/>
      <w:tcPr>
        <w:shd w:val="clear" w:color="auto" w:fill="EAF2F8" w:themeFill="accent3" w:themeFillTint="7F"/>
      </w:tcPr>
    </w:tblStylePr>
    <w:tblStylePr w:type="band1Horz">
      <w:tblPr/>
      <w:tcPr>
        <w:shd w:val="clear" w:color="auto" w:fill="EAF2F8"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BFDFE" w:themeFill="accent4" w:themeFillTint="33"/>
    </w:tcPr>
    <w:tblStylePr w:type="firstRow">
      <w:rPr>
        <w:b/>
        <w:bCs/>
      </w:rPr>
      <w:tblPr/>
      <w:tcPr>
        <w:shd w:val="clear" w:color="auto" w:fill="F8FBFD" w:themeFill="accent4" w:themeFillTint="66"/>
      </w:tcPr>
    </w:tblStylePr>
    <w:tblStylePr w:type="lastRow">
      <w:rPr>
        <w:b/>
        <w:bCs/>
        <w:color w:val="000000" w:themeColor="text1"/>
      </w:rPr>
      <w:tblPr/>
      <w:tcPr>
        <w:shd w:val="clear" w:color="auto" w:fill="F8FBFD" w:themeFill="accent4" w:themeFillTint="66"/>
      </w:tcPr>
    </w:tblStylePr>
    <w:tblStylePr w:type="firstCol">
      <w:rPr>
        <w:color w:val="FFFFFF" w:themeColor="background1"/>
      </w:rPr>
      <w:tblPr/>
      <w:tcPr>
        <w:shd w:val="clear" w:color="auto" w:fill="91C1DC" w:themeFill="accent4" w:themeFillShade="BF"/>
      </w:tcPr>
    </w:tblStylePr>
    <w:tblStylePr w:type="lastCol">
      <w:rPr>
        <w:color w:val="FFFFFF" w:themeColor="background1"/>
      </w:rPr>
      <w:tblPr/>
      <w:tcPr>
        <w:shd w:val="clear" w:color="auto" w:fill="91C1DC" w:themeFill="accent4" w:themeFillShade="BF"/>
      </w:tcPr>
    </w:tblStylePr>
    <w:tblStylePr w:type="band1Vert">
      <w:tblPr/>
      <w:tcPr>
        <w:shd w:val="clear" w:color="auto" w:fill="F6FAFC" w:themeFill="accent4" w:themeFillTint="7F"/>
      </w:tcPr>
    </w:tblStylePr>
    <w:tblStylePr w:type="band1Horz">
      <w:tblPr/>
      <w:tcPr>
        <w:shd w:val="clear" w:color="auto" w:fill="F6FAFC"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4FAF9" w:themeFill="accent5" w:themeFillTint="33"/>
    </w:tcPr>
    <w:tblStylePr w:type="firstRow">
      <w:rPr>
        <w:b/>
        <w:bCs/>
      </w:rPr>
      <w:tblPr/>
      <w:tcPr>
        <w:shd w:val="clear" w:color="auto" w:fill="EAF6F5" w:themeFill="accent5" w:themeFillTint="66"/>
      </w:tcPr>
    </w:tblStylePr>
    <w:tblStylePr w:type="lastRow">
      <w:rPr>
        <w:b/>
        <w:bCs/>
        <w:color w:val="000000" w:themeColor="text1"/>
      </w:rPr>
      <w:tblPr/>
      <w:tcPr>
        <w:shd w:val="clear" w:color="auto" w:fill="EAF6F5" w:themeFill="accent5" w:themeFillTint="66"/>
      </w:tcPr>
    </w:tblStylePr>
    <w:tblStylePr w:type="firstCol">
      <w:rPr>
        <w:color w:val="FFFFFF" w:themeColor="background1"/>
      </w:rPr>
      <w:tblPr/>
      <w:tcPr>
        <w:shd w:val="clear" w:color="auto" w:fill="7ECABF" w:themeFill="accent5" w:themeFillShade="BF"/>
      </w:tcPr>
    </w:tblStylePr>
    <w:tblStylePr w:type="lastCol">
      <w:rPr>
        <w:color w:val="FFFFFF" w:themeColor="background1"/>
      </w:rPr>
      <w:tblPr/>
      <w:tcPr>
        <w:shd w:val="clear" w:color="auto" w:fill="7ECABF" w:themeFill="accent5" w:themeFillShade="BF"/>
      </w:tcPr>
    </w:tblStylePr>
    <w:tblStylePr w:type="band1Vert">
      <w:tblPr/>
      <w:tcPr>
        <w:shd w:val="clear" w:color="auto" w:fill="E5F4F2" w:themeFill="accent5" w:themeFillTint="7F"/>
      </w:tcPr>
    </w:tblStylePr>
    <w:tblStylePr w:type="band1Horz">
      <w:tblPr/>
      <w:tcPr>
        <w:shd w:val="clear" w:color="auto" w:fill="E5F4F2"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DCDFE3" w:themeFill="accent6" w:themeFillTint="33"/>
    </w:tcPr>
    <w:tblStylePr w:type="firstRow">
      <w:rPr>
        <w:b/>
        <w:bCs/>
      </w:rPr>
      <w:tblPr/>
      <w:tcPr>
        <w:shd w:val="clear" w:color="auto" w:fill="B9BFC7" w:themeFill="accent6" w:themeFillTint="66"/>
      </w:tcPr>
    </w:tblStylePr>
    <w:tblStylePr w:type="lastRow">
      <w:rPr>
        <w:b/>
        <w:bCs/>
        <w:color w:val="000000" w:themeColor="text1"/>
      </w:rPr>
      <w:tblPr/>
      <w:tcPr>
        <w:shd w:val="clear" w:color="auto" w:fill="B9BFC7" w:themeFill="accent6" w:themeFillTint="66"/>
      </w:tcPr>
    </w:tblStylePr>
    <w:tblStylePr w:type="firstCol">
      <w:rPr>
        <w:color w:val="FFFFFF" w:themeColor="background1"/>
      </w:rPr>
      <w:tblPr/>
      <w:tcPr>
        <w:shd w:val="clear" w:color="auto" w:fill="414952" w:themeFill="accent6" w:themeFillShade="BF"/>
      </w:tcPr>
    </w:tblStylePr>
    <w:tblStylePr w:type="lastCol">
      <w:rPr>
        <w:color w:val="FFFFFF" w:themeColor="background1"/>
      </w:rPr>
      <w:tblPr/>
      <w:tcPr>
        <w:shd w:val="clear" w:color="auto" w:fill="414952" w:themeFill="accent6" w:themeFillShade="BF"/>
      </w:tcPr>
    </w:tblStylePr>
    <w:tblStylePr w:type="band1Vert">
      <w:tblPr/>
      <w:tcPr>
        <w:shd w:val="clear" w:color="auto" w:fill="A7B0BA" w:themeFill="accent6" w:themeFillTint="7F"/>
      </w:tcPr>
    </w:tblStylePr>
    <w:tblStylePr w:type="band1Horz">
      <w:tblPr/>
      <w:tcPr>
        <w:shd w:val="clear" w:color="auto" w:fill="A7B0BA"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828D" w:themeFill="accent2" w:themeFillShade="CC"/>
      </w:tcPr>
    </w:tblStylePr>
    <w:tblStylePr w:type="lastRow">
      <w:rPr>
        <w:b/>
        <w:bCs/>
        <w:color w:val="7E828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7E828D" w:themeFill="accent2" w:themeFillShade="CC"/>
      </w:tcPr>
    </w:tblStylePr>
    <w:tblStylePr w:type="lastRow">
      <w:rPr>
        <w:b/>
        <w:bCs/>
        <w:color w:val="7E828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1" w:themeFillTint="3F"/>
      </w:tcPr>
    </w:tblStylePr>
    <w:tblStylePr w:type="band1Horz">
      <w:tblPr/>
      <w:tcPr>
        <w:shd w:val="clear" w:color="auto" w:fill="F7F7F7"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F5F6F7" w:themeFill="accent2" w:themeFillTint="19"/>
    </w:tcPr>
    <w:tblStylePr w:type="firstRow">
      <w:rPr>
        <w:b/>
        <w:bCs/>
        <w:color w:val="FFFFFF" w:themeColor="background1"/>
      </w:rPr>
      <w:tblPr/>
      <w:tcPr>
        <w:tcBorders>
          <w:bottom w:val="single" w:sz="12" w:space="0" w:color="FFFFFF" w:themeColor="background1"/>
        </w:tcBorders>
        <w:shd w:val="clear" w:color="auto" w:fill="7E828D" w:themeFill="accent2" w:themeFillShade="CC"/>
      </w:tcPr>
    </w:tblStylePr>
    <w:tblStylePr w:type="lastRow">
      <w:rPr>
        <w:b/>
        <w:bCs/>
        <w:color w:val="7E828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8EA" w:themeFill="accent2" w:themeFillTint="3F"/>
      </w:tcPr>
    </w:tblStylePr>
    <w:tblStylePr w:type="band1Horz">
      <w:tblPr/>
      <w:tcPr>
        <w:shd w:val="clear" w:color="auto" w:fill="ECECEE"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AFCFD" w:themeFill="accent3" w:themeFillTint="19"/>
    </w:tcPr>
    <w:tblStylePr w:type="firstRow">
      <w:rPr>
        <w:b/>
        <w:bCs/>
        <w:color w:val="FFFFFF" w:themeColor="background1"/>
      </w:rPr>
      <w:tblPr/>
      <w:tcPr>
        <w:tcBorders>
          <w:bottom w:val="single" w:sz="12" w:space="0" w:color="FFFFFF" w:themeColor="background1"/>
        </w:tcBorders>
        <w:shd w:val="clear" w:color="auto" w:fill="A4CBE2" w:themeFill="accent4" w:themeFillShade="CC"/>
      </w:tcPr>
    </w:tblStylePr>
    <w:tblStylePr w:type="lastRow">
      <w:rPr>
        <w:b/>
        <w:bCs/>
        <w:color w:val="A4CBE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8FB" w:themeFill="accent3" w:themeFillTint="3F"/>
      </w:tcPr>
    </w:tblStylePr>
    <w:tblStylePr w:type="band1Horz">
      <w:tblPr/>
      <w:tcPr>
        <w:shd w:val="clear" w:color="auto" w:fill="F6FAFC"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FDFEFE" w:themeFill="accent4" w:themeFillTint="19"/>
    </w:tcPr>
    <w:tblStylePr w:type="firstRow">
      <w:rPr>
        <w:b/>
        <w:bCs/>
        <w:color w:val="FFFFFF" w:themeColor="background1"/>
      </w:rPr>
      <w:tblPr/>
      <w:tcPr>
        <w:tcBorders>
          <w:bottom w:val="single" w:sz="12" w:space="0" w:color="FFFFFF" w:themeColor="background1"/>
        </w:tcBorders>
        <w:shd w:val="clear" w:color="auto" w:fill="90BEDC" w:themeFill="accent3" w:themeFillShade="CC"/>
      </w:tcPr>
    </w:tblStylePr>
    <w:tblStylePr w:type="lastRow">
      <w:rPr>
        <w:b/>
        <w:bCs/>
        <w:color w:val="90BED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4" w:themeFillTint="3F"/>
      </w:tcPr>
    </w:tblStylePr>
    <w:tblStylePr w:type="band1Horz">
      <w:tblPr/>
      <w:tcPr>
        <w:shd w:val="clear" w:color="auto" w:fill="FBFDFE"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F9FDFC" w:themeFill="accent5" w:themeFillTint="19"/>
    </w:tcPr>
    <w:tblStylePr w:type="firstRow">
      <w:rPr>
        <w:b/>
        <w:bCs/>
        <w:color w:val="FFFFFF" w:themeColor="background1"/>
      </w:rPr>
      <w:tblPr/>
      <w:tcPr>
        <w:tcBorders>
          <w:bottom w:val="single" w:sz="12" w:space="0" w:color="FFFFFF" w:themeColor="background1"/>
        </w:tcBorders>
        <w:shd w:val="clear" w:color="auto" w:fill="454E57" w:themeFill="accent6" w:themeFillShade="CC"/>
      </w:tcPr>
    </w:tblStylePr>
    <w:tblStylePr w:type="lastRow">
      <w:rPr>
        <w:b/>
        <w:bCs/>
        <w:color w:val="454E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9F8" w:themeFill="accent5" w:themeFillTint="3F"/>
      </w:tcPr>
    </w:tblStylePr>
    <w:tblStylePr w:type="band1Horz">
      <w:tblPr/>
      <w:tcPr>
        <w:shd w:val="clear" w:color="auto" w:fill="F4FAF9"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EDEFF1" w:themeFill="accent6" w:themeFillTint="19"/>
    </w:tcPr>
    <w:tblStylePr w:type="firstRow">
      <w:rPr>
        <w:b/>
        <w:bCs/>
        <w:color w:val="FFFFFF" w:themeColor="background1"/>
      </w:rPr>
      <w:tblPr/>
      <w:tcPr>
        <w:tcBorders>
          <w:bottom w:val="single" w:sz="12" w:space="0" w:color="FFFFFF" w:themeColor="background1"/>
        </w:tcBorders>
        <w:shd w:val="clear" w:color="auto" w:fill="8DD0C7" w:themeFill="accent5" w:themeFillShade="CC"/>
      </w:tcPr>
    </w:tblStylePr>
    <w:tblStylePr w:type="lastRow">
      <w:rPr>
        <w:b/>
        <w:bCs/>
        <w:color w:val="8DD0C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8DC" w:themeFill="accent6" w:themeFillTint="3F"/>
      </w:tcPr>
    </w:tblStylePr>
    <w:tblStylePr w:type="band1Horz">
      <w:tblPr/>
      <w:tcPr>
        <w:shd w:val="clear" w:color="auto" w:fill="DCDFE3"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A2A5A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A2A5AD" w:themeColor="accent2"/>
        <w:left w:val="single" w:sz="4" w:space="0" w:color="D8D8D8" w:themeColor="accent1"/>
        <w:bottom w:val="single" w:sz="4" w:space="0" w:color="D8D8D8" w:themeColor="accent1"/>
        <w:right w:val="single" w:sz="4" w:space="0" w:color="D8D8D8"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8181" w:themeFill="accent1" w:themeFillShade="99"/>
      </w:tcPr>
    </w:tblStylePr>
    <w:tblStylePr w:type="firstCol">
      <w:rPr>
        <w:color w:val="FFFFFF" w:themeColor="background1"/>
      </w:rPr>
      <w:tblPr/>
      <w:tcPr>
        <w:tcBorders>
          <w:top w:val="nil"/>
          <w:left w:val="nil"/>
          <w:bottom w:val="nil"/>
          <w:right w:val="nil"/>
          <w:insideH w:val="single" w:sz="4" w:space="0" w:color="818181" w:themeColor="accent1" w:themeShade="99"/>
          <w:insideV w:val="nil"/>
        </w:tcBorders>
        <w:shd w:val="clear" w:color="auto" w:fill="81818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8181" w:themeFill="accent1" w:themeFillShade="99"/>
      </w:tcPr>
    </w:tblStylePr>
    <w:tblStylePr w:type="band1Vert">
      <w:tblPr/>
      <w:tcPr>
        <w:shd w:val="clear" w:color="auto" w:fill="EFEFEF" w:themeFill="accent1" w:themeFillTint="66"/>
      </w:tcPr>
    </w:tblStylePr>
    <w:tblStylePr w:type="band1Horz">
      <w:tblPr/>
      <w:tcPr>
        <w:shd w:val="clear" w:color="auto" w:fill="EBEBE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A2A5AD" w:themeColor="accent2"/>
        <w:left w:val="single" w:sz="4" w:space="0" w:color="A2A5AD" w:themeColor="accent2"/>
        <w:bottom w:val="single" w:sz="4" w:space="0" w:color="A2A5AD" w:themeColor="accent2"/>
        <w:right w:val="single" w:sz="4" w:space="0" w:color="A2A5AD" w:themeColor="accent2"/>
        <w:insideH w:val="single" w:sz="4" w:space="0" w:color="FFFFFF" w:themeColor="background1"/>
        <w:insideV w:val="single" w:sz="4" w:space="0" w:color="FFFFFF" w:themeColor="background1"/>
      </w:tblBorders>
    </w:tblPr>
    <w:tcPr>
      <w:shd w:val="clear" w:color="auto" w:fill="F5F6F7" w:themeFill="accent2" w:themeFillTint="19"/>
    </w:tcPr>
    <w:tblStylePr w:type="firstRow">
      <w:rPr>
        <w:b/>
        <w:bCs/>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16A" w:themeFill="accent2" w:themeFillShade="99"/>
      </w:tcPr>
    </w:tblStylePr>
    <w:tblStylePr w:type="firstCol">
      <w:rPr>
        <w:color w:val="FFFFFF" w:themeColor="background1"/>
      </w:rPr>
      <w:tblPr/>
      <w:tcPr>
        <w:tcBorders>
          <w:top w:val="nil"/>
          <w:left w:val="nil"/>
          <w:bottom w:val="nil"/>
          <w:right w:val="nil"/>
          <w:insideH w:val="single" w:sz="4" w:space="0" w:color="5E616A" w:themeColor="accent2" w:themeShade="99"/>
          <w:insideV w:val="nil"/>
        </w:tcBorders>
        <w:shd w:val="clear" w:color="auto" w:fill="5E61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616A" w:themeFill="accent2" w:themeFillShade="99"/>
      </w:tcPr>
    </w:tblStylePr>
    <w:tblStylePr w:type="band1Vert">
      <w:tblPr/>
      <w:tcPr>
        <w:shd w:val="clear" w:color="auto" w:fill="D9DADE" w:themeFill="accent2" w:themeFillTint="66"/>
      </w:tcPr>
    </w:tblStylePr>
    <w:tblStylePr w:type="band1Horz">
      <w:tblPr/>
      <w:tcPr>
        <w:shd w:val="clear" w:color="auto" w:fill="D0D2D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EFF6FA" w:themeColor="accent4"/>
        <w:left w:val="single" w:sz="4" w:space="0" w:color="D6E7F2" w:themeColor="accent3"/>
        <w:bottom w:val="single" w:sz="4" w:space="0" w:color="D6E7F2" w:themeColor="accent3"/>
        <w:right w:val="single" w:sz="4" w:space="0" w:color="D6E7F2" w:themeColor="accent3"/>
        <w:insideH w:val="single" w:sz="4" w:space="0" w:color="FFFFFF" w:themeColor="background1"/>
        <w:insideV w:val="single" w:sz="4" w:space="0" w:color="FFFFFF" w:themeColor="background1"/>
      </w:tblBorders>
    </w:tblPr>
    <w:tcPr>
      <w:shd w:val="clear" w:color="auto" w:fill="FAFCFD" w:themeFill="accent3" w:themeFillTint="19"/>
    </w:tcPr>
    <w:tblStylePr w:type="firstRow">
      <w:rPr>
        <w:b/>
        <w:bCs/>
      </w:rPr>
      <w:tblPr/>
      <w:tcPr>
        <w:tcBorders>
          <w:top w:val="nil"/>
          <w:left w:val="nil"/>
          <w:bottom w:val="single" w:sz="24" w:space="0" w:color="EFF6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95C6" w:themeFill="accent3" w:themeFillShade="99"/>
      </w:tcPr>
    </w:tblStylePr>
    <w:tblStylePr w:type="firstCol">
      <w:rPr>
        <w:color w:val="FFFFFF" w:themeColor="background1"/>
      </w:rPr>
      <w:tblPr/>
      <w:tcPr>
        <w:tcBorders>
          <w:top w:val="nil"/>
          <w:left w:val="nil"/>
          <w:bottom w:val="nil"/>
          <w:right w:val="nil"/>
          <w:insideH w:val="single" w:sz="4" w:space="0" w:color="4B95C6" w:themeColor="accent3" w:themeShade="99"/>
          <w:insideV w:val="nil"/>
        </w:tcBorders>
        <w:shd w:val="clear" w:color="auto" w:fill="4B95C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B95C6" w:themeFill="accent3" w:themeFillShade="99"/>
      </w:tcPr>
    </w:tblStylePr>
    <w:tblStylePr w:type="band1Vert">
      <w:tblPr/>
      <w:tcPr>
        <w:shd w:val="clear" w:color="auto" w:fill="EEF5F9" w:themeFill="accent3" w:themeFillTint="66"/>
      </w:tcPr>
    </w:tblStylePr>
    <w:tblStylePr w:type="band1Horz">
      <w:tblPr/>
      <w:tcPr>
        <w:shd w:val="clear" w:color="auto" w:fill="EAF2F8"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D6E7F2" w:themeColor="accent3"/>
        <w:left w:val="single" w:sz="4" w:space="0" w:color="EFF6FA" w:themeColor="accent4"/>
        <w:bottom w:val="single" w:sz="4" w:space="0" w:color="EFF6FA" w:themeColor="accent4"/>
        <w:right w:val="single" w:sz="4" w:space="0" w:color="EFF6FA" w:themeColor="accent4"/>
        <w:insideH w:val="single" w:sz="4" w:space="0" w:color="FFFFFF" w:themeColor="background1"/>
        <w:insideV w:val="single" w:sz="4" w:space="0" w:color="FFFFFF" w:themeColor="background1"/>
      </w:tblBorders>
    </w:tblPr>
    <w:tcPr>
      <w:shd w:val="clear" w:color="auto" w:fill="FDFEFE" w:themeFill="accent4" w:themeFillTint="19"/>
    </w:tcPr>
    <w:tblStylePr w:type="firstRow">
      <w:rPr>
        <w:b/>
        <w:bCs/>
      </w:rPr>
      <w:tblPr/>
      <w:tcPr>
        <w:tcBorders>
          <w:top w:val="nil"/>
          <w:left w:val="nil"/>
          <w:bottom w:val="single" w:sz="24" w:space="0" w:color="D6E7F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A2CB" w:themeFill="accent4" w:themeFillShade="99"/>
      </w:tcPr>
    </w:tblStylePr>
    <w:tblStylePr w:type="firstCol">
      <w:rPr>
        <w:color w:val="FFFFFF" w:themeColor="background1"/>
      </w:rPr>
      <w:tblPr/>
      <w:tcPr>
        <w:tcBorders>
          <w:top w:val="nil"/>
          <w:left w:val="nil"/>
          <w:bottom w:val="nil"/>
          <w:right w:val="nil"/>
          <w:insideH w:val="single" w:sz="4" w:space="0" w:color="59A2CB" w:themeColor="accent4" w:themeShade="99"/>
          <w:insideV w:val="nil"/>
        </w:tcBorders>
        <w:shd w:val="clear" w:color="auto" w:fill="59A2C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A2CB" w:themeFill="accent4" w:themeFillShade="99"/>
      </w:tcPr>
    </w:tblStylePr>
    <w:tblStylePr w:type="band1Vert">
      <w:tblPr/>
      <w:tcPr>
        <w:shd w:val="clear" w:color="auto" w:fill="F8FBFD" w:themeFill="accent4" w:themeFillTint="66"/>
      </w:tcPr>
    </w:tblStylePr>
    <w:tblStylePr w:type="band1Horz">
      <w:tblPr/>
      <w:tcPr>
        <w:shd w:val="clear" w:color="auto" w:fill="F6FAF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57626E" w:themeColor="accent6"/>
        <w:left w:val="single" w:sz="4" w:space="0" w:color="CCEAE6" w:themeColor="accent5"/>
        <w:bottom w:val="single" w:sz="4" w:space="0" w:color="CCEAE6" w:themeColor="accent5"/>
        <w:right w:val="single" w:sz="4" w:space="0" w:color="CCEAE6" w:themeColor="accent5"/>
        <w:insideH w:val="single" w:sz="4" w:space="0" w:color="FFFFFF" w:themeColor="background1"/>
        <w:insideV w:val="single" w:sz="4" w:space="0" w:color="FFFFFF" w:themeColor="background1"/>
      </w:tblBorders>
    </w:tblPr>
    <w:tcPr>
      <w:shd w:val="clear" w:color="auto" w:fill="F9FDFC" w:themeFill="accent5" w:themeFillTint="19"/>
    </w:tcPr>
    <w:tblStylePr w:type="firstRow">
      <w:rPr>
        <w:b/>
        <w:bCs/>
      </w:rPr>
      <w:tblPr/>
      <w:tcPr>
        <w:tcBorders>
          <w:top w:val="nil"/>
          <w:left w:val="nil"/>
          <w:bottom w:val="single" w:sz="24" w:space="0" w:color="57626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B6A9" w:themeFill="accent5" w:themeFillShade="99"/>
      </w:tcPr>
    </w:tblStylePr>
    <w:tblStylePr w:type="firstCol">
      <w:rPr>
        <w:color w:val="FFFFFF" w:themeColor="background1"/>
      </w:rPr>
      <w:tblPr/>
      <w:tcPr>
        <w:tcBorders>
          <w:top w:val="nil"/>
          <w:left w:val="nil"/>
          <w:bottom w:val="nil"/>
          <w:right w:val="nil"/>
          <w:insideH w:val="single" w:sz="4" w:space="0" w:color="4FB6A9" w:themeColor="accent5" w:themeShade="99"/>
          <w:insideV w:val="nil"/>
        </w:tcBorders>
        <w:shd w:val="clear" w:color="auto" w:fill="4FB6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B6A9" w:themeFill="accent5" w:themeFillShade="99"/>
      </w:tcPr>
    </w:tblStylePr>
    <w:tblStylePr w:type="band1Vert">
      <w:tblPr/>
      <w:tcPr>
        <w:shd w:val="clear" w:color="auto" w:fill="EAF6F5" w:themeFill="accent5" w:themeFillTint="66"/>
      </w:tcPr>
    </w:tblStylePr>
    <w:tblStylePr w:type="band1Horz">
      <w:tblPr/>
      <w:tcPr>
        <w:shd w:val="clear" w:color="auto" w:fill="E5F4F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CCEAE6" w:themeColor="accent5"/>
        <w:left w:val="single" w:sz="4" w:space="0" w:color="57626E" w:themeColor="accent6"/>
        <w:bottom w:val="single" w:sz="4" w:space="0" w:color="57626E" w:themeColor="accent6"/>
        <w:right w:val="single" w:sz="4" w:space="0" w:color="57626E" w:themeColor="accent6"/>
        <w:insideH w:val="single" w:sz="4" w:space="0" w:color="FFFFFF" w:themeColor="background1"/>
        <w:insideV w:val="single" w:sz="4" w:space="0" w:color="FFFFFF" w:themeColor="background1"/>
      </w:tblBorders>
    </w:tblPr>
    <w:tcPr>
      <w:shd w:val="clear" w:color="auto" w:fill="EDEFF1" w:themeFill="accent6" w:themeFillTint="19"/>
    </w:tcPr>
    <w:tblStylePr w:type="firstRow">
      <w:rPr>
        <w:b/>
        <w:bCs/>
      </w:rPr>
      <w:tblPr/>
      <w:tcPr>
        <w:tcBorders>
          <w:top w:val="nil"/>
          <w:left w:val="nil"/>
          <w:bottom w:val="single" w:sz="24" w:space="0" w:color="CCEA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3A41" w:themeFill="accent6" w:themeFillShade="99"/>
      </w:tcPr>
    </w:tblStylePr>
    <w:tblStylePr w:type="firstCol">
      <w:rPr>
        <w:color w:val="FFFFFF" w:themeColor="background1"/>
      </w:rPr>
      <w:tblPr/>
      <w:tcPr>
        <w:tcBorders>
          <w:top w:val="nil"/>
          <w:left w:val="nil"/>
          <w:bottom w:val="nil"/>
          <w:right w:val="nil"/>
          <w:insideH w:val="single" w:sz="4" w:space="0" w:color="343A41" w:themeColor="accent6" w:themeShade="99"/>
          <w:insideV w:val="nil"/>
        </w:tcBorders>
        <w:shd w:val="clear" w:color="auto" w:fill="343A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3A41" w:themeFill="accent6" w:themeFillShade="99"/>
      </w:tcPr>
    </w:tblStylePr>
    <w:tblStylePr w:type="band1Vert">
      <w:tblPr/>
      <w:tcPr>
        <w:shd w:val="clear" w:color="auto" w:fill="B9BFC7" w:themeFill="accent6" w:themeFillTint="66"/>
      </w:tcPr>
    </w:tblStylePr>
    <w:tblStylePr w:type="band1Horz">
      <w:tblPr/>
      <w:tcPr>
        <w:shd w:val="clear" w:color="auto" w:fill="A7B0B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semiHidden/>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semiHidden/>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D8D8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6B6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A1A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A1A1" w:themeFill="accent1" w:themeFillShade="BF"/>
      </w:tcPr>
    </w:tblStylePr>
    <w:tblStylePr w:type="band1Vert">
      <w:tblPr/>
      <w:tcPr>
        <w:tcBorders>
          <w:top w:val="nil"/>
          <w:left w:val="nil"/>
          <w:bottom w:val="nil"/>
          <w:right w:val="nil"/>
          <w:insideH w:val="nil"/>
          <w:insideV w:val="nil"/>
        </w:tcBorders>
        <w:shd w:val="clear" w:color="auto" w:fill="A1A1A1" w:themeFill="accent1" w:themeFillShade="BF"/>
      </w:tcPr>
    </w:tblStylePr>
    <w:tblStylePr w:type="band1Horz">
      <w:tblPr/>
      <w:tcPr>
        <w:tcBorders>
          <w:top w:val="nil"/>
          <w:left w:val="nil"/>
          <w:bottom w:val="nil"/>
          <w:right w:val="nil"/>
          <w:insideH w:val="nil"/>
          <w:insideV w:val="nil"/>
        </w:tcBorders>
        <w:shd w:val="clear" w:color="auto" w:fill="A1A1A1"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A2A5A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0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79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7985" w:themeFill="accent2" w:themeFillShade="BF"/>
      </w:tcPr>
    </w:tblStylePr>
    <w:tblStylePr w:type="band1Vert">
      <w:tblPr/>
      <w:tcPr>
        <w:tcBorders>
          <w:top w:val="nil"/>
          <w:left w:val="nil"/>
          <w:bottom w:val="nil"/>
          <w:right w:val="nil"/>
          <w:insideH w:val="nil"/>
          <w:insideV w:val="nil"/>
        </w:tcBorders>
        <w:shd w:val="clear" w:color="auto" w:fill="757985" w:themeFill="accent2" w:themeFillShade="BF"/>
      </w:tcPr>
    </w:tblStylePr>
    <w:tblStylePr w:type="band1Horz">
      <w:tblPr/>
      <w:tcPr>
        <w:tcBorders>
          <w:top w:val="nil"/>
          <w:left w:val="nil"/>
          <w:bottom w:val="nil"/>
          <w:right w:val="nil"/>
          <w:insideH w:val="nil"/>
          <w:insideV w:val="nil"/>
        </w:tcBorders>
        <w:shd w:val="clear" w:color="auto" w:fill="757985"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D6E7F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7DA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B3D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B3D6" w:themeFill="accent3" w:themeFillShade="BF"/>
      </w:tcPr>
    </w:tblStylePr>
    <w:tblStylePr w:type="band1Vert">
      <w:tblPr/>
      <w:tcPr>
        <w:tcBorders>
          <w:top w:val="nil"/>
          <w:left w:val="nil"/>
          <w:bottom w:val="nil"/>
          <w:right w:val="nil"/>
          <w:insideH w:val="nil"/>
          <w:insideV w:val="nil"/>
        </w:tcBorders>
        <w:shd w:val="clear" w:color="auto" w:fill="7EB3D6" w:themeFill="accent3" w:themeFillShade="BF"/>
      </w:tcPr>
    </w:tblStylePr>
    <w:tblStylePr w:type="band1Horz">
      <w:tblPr/>
      <w:tcPr>
        <w:tcBorders>
          <w:top w:val="nil"/>
          <w:left w:val="nil"/>
          <w:bottom w:val="nil"/>
          <w:right w:val="nil"/>
          <w:insideH w:val="nil"/>
          <w:insideV w:val="nil"/>
        </w:tcBorders>
        <w:shd w:val="clear" w:color="auto" w:fill="7EB3D6"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EFF6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8AB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1C1D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1C1DC" w:themeFill="accent4" w:themeFillShade="BF"/>
      </w:tcPr>
    </w:tblStylePr>
    <w:tblStylePr w:type="band1Vert">
      <w:tblPr/>
      <w:tcPr>
        <w:tcBorders>
          <w:top w:val="nil"/>
          <w:left w:val="nil"/>
          <w:bottom w:val="nil"/>
          <w:right w:val="nil"/>
          <w:insideH w:val="nil"/>
          <w:insideV w:val="nil"/>
        </w:tcBorders>
        <w:shd w:val="clear" w:color="auto" w:fill="91C1DC" w:themeFill="accent4" w:themeFillShade="BF"/>
      </w:tcPr>
    </w:tblStylePr>
    <w:tblStylePr w:type="band1Horz">
      <w:tblPr/>
      <w:tcPr>
        <w:tcBorders>
          <w:top w:val="nil"/>
          <w:left w:val="nil"/>
          <w:bottom w:val="nil"/>
          <w:right w:val="nil"/>
          <w:insideH w:val="nil"/>
          <w:insideV w:val="nil"/>
        </w:tcBorders>
        <w:shd w:val="clear" w:color="auto" w:fill="91C1DC"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CCEA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9A8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CA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CABF" w:themeFill="accent5" w:themeFillShade="BF"/>
      </w:tcPr>
    </w:tblStylePr>
    <w:tblStylePr w:type="band1Vert">
      <w:tblPr/>
      <w:tcPr>
        <w:tcBorders>
          <w:top w:val="nil"/>
          <w:left w:val="nil"/>
          <w:bottom w:val="nil"/>
          <w:right w:val="nil"/>
          <w:insideH w:val="nil"/>
          <w:insideV w:val="nil"/>
        </w:tcBorders>
        <w:shd w:val="clear" w:color="auto" w:fill="7ECABF" w:themeFill="accent5" w:themeFillShade="BF"/>
      </w:tcPr>
    </w:tblStylePr>
    <w:tblStylePr w:type="band1Horz">
      <w:tblPr/>
      <w:tcPr>
        <w:tcBorders>
          <w:top w:val="nil"/>
          <w:left w:val="nil"/>
          <w:bottom w:val="nil"/>
          <w:right w:val="nil"/>
          <w:insideH w:val="nil"/>
          <w:insideV w:val="nil"/>
        </w:tcBorders>
        <w:shd w:val="clear" w:color="auto" w:fill="7ECABF"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57626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30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495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4952" w:themeFill="accent6" w:themeFillShade="BF"/>
      </w:tcPr>
    </w:tblStylePr>
    <w:tblStylePr w:type="band1Vert">
      <w:tblPr/>
      <w:tcPr>
        <w:tcBorders>
          <w:top w:val="nil"/>
          <w:left w:val="nil"/>
          <w:bottom w:val="nil"/>
          <w:right w:val="nil"/>
          <w:insideH w:val="nil"/>
          <w:insideV w:val="nil"/>
        </w:tcBorders>
        <w:shd w:val="clear" w:color="auto" w:fill="414952" w:themeFill="accent6" w:themeFillShade="BF"/>
      </w:tcPr>
    </w:tblStylePr>
    <w:tblStylePr w:type="band1Horz">
      <w:tblPr/>
      <w:tcPr>
        <w:tcBorders>
          <w:top w:val="nil"/>
          <w:left w:val="nil"/>
          <w:bottom w:val="nil"/>
          <w:right w:val="nil"/>
          <w:insideH w:val="nil"/>
          <w:insideV w:val="nil"/>
        </w:tcBorders>
        <w:shd w:val="clear" w:color="auto" w:fill="414952"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semiHidden/>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semiHidden/>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6814"/>
    <w:rPr>
      <w:b/>
      <w:color w:val="404040"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D8D8D8" w:themeColor="accent1"/>
      <w:lang w:val="en-GB"/>
    </w:rPr>
  </w:style>
  <w:style w:type="paragraph" w:styleId="IntenseQuote">
    <w:name w:val="Intense Quote"/>
    <w:basedOn w:val="Normal"/>
    <w:next w:val="Normal"/>
    <w:link w:val="IntenseQuoteChar"/>
    <w:uiPriority w:val="30"/>
    <w:semiHidden/>
    <w:rsid w:val="00B91810"/>
    <w:pPr>
      <w:pBdr>
        <w:bottom w:val="single" w:sz="4" w:space="4" w:color="D8D8D8" w:themeColor="accent1"/>
      </w:pBdr>
      <w:spacing w:before="200" w:after="280"/>
      <w:ind w:left="936" w:right="936"/>
    </w:pPr>
    <w:rPr>
      <w:b/>
      <w:bCs/>
      <w:i/>
      <w:iCs/>
      <w:color w:val="D8D8D8" w:themeColor="accent1"/>
    </w:rPr>
  </w:style>
  <w:style w:type="character" w:customStyle="1" w:styleId="IntenseQuoteChar">
    <w:name w:val="Intense Quote Char"/>
    <w:basedOn w:val="DefaultParagraphFont"/>
    <w:link w:val="IntenseQuote"/>
    <w:uiPriority w:val="30"/>
    <w:semiHidden/>
    <w:rsid w:val="00B91810"/>
    <w:rPr>
      <w:b/>
      <w:bCs/>
      <w:i/>
      <w:iCs/>
      <w:color w:val="D8D8D8" w:themeColor="accent1"/>
      <w:lang w:val="en-GB"/>
    </w:rPr>
  </w:style>
  <w:style w:type="character" w:styleId="IntenseReference">
    <w:name w:val="Intense Reference"/>
    <w:basedOn w:val="DefaultParagraphFont"/>
    <w:uiPriority w:val="32"/>
    <w:semiHidden/>
    <w:rsid w:val="00B91810"/>
    <w:rPr>
      <w:b/>
      <w:bCs/>
      <w:smallCaps/>
      <w:color w:val="A2A5AD"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insideH w:val="single" w:sz="8" w:space="0" w:color="D8D8D8" w:themeColor="accent1"/>
        <w:insideV w:val="single" w:sz="8" w:space="0" w:color="D8D8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1"/>
          <w:left w:val="single" w:sz="8" w:space="0" w:color="D8D8D8" w:themeColor="accent1"/>
          <w:bottom w:val="single" w:sz="18" w:space="0" w:color="D8D8D8" w:themeColor="accent1"/>
          <w:right w:val="single" w:sz="8" w:space="0" w:color="D8D8D8" w:themeColor="accent1"/>
          <w:insideH w:val="nil"/>
          <w:insideV w:val="single" w:sz="8" w:space="0" w:color="D8D8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1"/>
          <w:left w:val="single" w:sz="8" w:space="0" w:color="D8D8D8" w:themeColor="accent1"/>
          <w:bottom w:val="single" w:sz="8" w:space="0" w:color="D8D8D8" w:themeColor="accent1"/>
          <w:right w:val="single" w:sz="8" w:space="0" w:color="D8D8D8" w:themeColor="accent1"/>
          <w:insideH w:val="nil"/>
          <w:insideV w:val="single" w:sz="8" w:space="0" w:color="D8D8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tcPr>
    </w:tblStylePr>
    <w:tblStylePr w:type="band1Vert">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shd w:val="clear" w:color="auto" w:fill="F5F5F5" w:themeFill="accent1" w:themeFillTint="3F"/>
      </w:tcPr>
    </w:tblStylePr>
    <w:tblStylePr w:type="band1Horz">
      <w:tblPr/>
      <w:tcPr>
        <w:tcBorders>
          <w:top w:val="single" w:sz="8" w:space="0" w:color="D8D8D8" w:themeColor="accent1"/>
          <w:left w:val="single" w:sz="8" w:space="0" w:color="D8D8D8" w:themeColor="accent1"/>
          <w:bottom w:val="single" w:sz="8" w:space="0" w:color="D8D8D8" w:themeColor="accent1"/>
          <w:right w:val="single" w:sz="8" w:space="0" w:color="D8D8D8" w:themeColor="accent1"/>
          <w:insideV w:val="single" w:sz="8" w:space="0" w:color="D8D8D8" w:themeColor="accent1"/>
        </w:tcBorders>
        <w:shd w:val="clear" w:color="auto" w:fill="F5F5F5" w:themeFill="accent1" w:themeFillTint="3F"/>
      </w:tcPr>
    </w:tblStylePr>
    <w:tblStylePr w:type="band2Horz">
      <w:tblPr/>
      <w:tcPr>
        <w:tcBorders>
          <w:top w:val="single" w:sz="8" w:space="0" w:color="D8D8D8" w:themeColor="accent1"/>
          <w:left w:val="single" w:sz="8" w:space="0" w:color="D8D8D8" w:themeColor="accent1"/>
          <w:bottom w:val="single" w:sz="8" w:space="0" w:color="D8D8D8" w:themeColor="accent1"/>
          <w:right w:val="single" w:sz="8" w:space="0" w:color="D8D8D8" w:themeColor="accent1"/>
          <w:insideV w:val="single" w:sz="8" w:space="0" w:color="D8D8D8"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insideH w:val="single" w:sz="8" w:space="0" w:color="A2A5AD" w:themeColor="accent2"/>
        <w:insideV w:val="single" w:sz="8" w:space="0" w:color="A2A5A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A5AD" w:themeColor="accent2"/>
          <w:left w:val="single" w:sz="8" w:space="0" w:color="A2A5AD" w:themeColor="accent2"/>
          <w:bottom w:val="single" w:sz="18" w:space="0" w:color="A2A5AD" w:themeColor="accent2"/>
          <w:right w:val="single" w:sz="8" w:space="0" w:color="A2A5AD" w:themeColor="accent2"/>
          <w:insideH w:val="nil"/>
          <w:insideV w:val="single" w:sz="8" w:space="0" w:color="A2A5A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A5AD" w:themeColor="accent2"/>
          <w:left w:val="single" w:sz="8" w:space="0" w:color="A2A5AD" w:themeColor="accent2"/>
          <w:bottom w:val="single" w:sz="8" w:space="0" w:color="A2A5AD" w:themeColor="accent2"/>
          <w:right w:val="single" w:sz="8" w:space="0" w:color="A2A5AD" w:themeColor="accent2"/>
          <w:insideH w:val="nil"/>
          <w:insideV w:val="single" w:sz="8" w:space="0" w:color="A2A5A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tcPr>
    </w:tblStylePr>
    <w:tblStylePr w:type="band1Vert">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shd w:val="clear" w:color="auto" w:fill="E7E8EA" w:themeFill="accent2" w:themeFillTint="3F"/>
      </w:tcPr>
    </w:tblStylePr>
    <w:tblStylePr w:type="band1Horz">
      <w:tblPr/>
      <w:tcPr>
        <w:tcBorders>
          <w:top w:val="single" w:sz="8" w:space="0" w:color="A2A5AD" w:themeColor="accent2"/>
          <w:left w:val="single" w:sz="8" w:space="0" w:color="A2A5AD" w:themeColor="accent2"/>
          <w:bottom w:val="single" w:sz="8" w:space="0" w:color="A2A5AD" w:themeColor="accent2"/>
          <w:right w:val="single" w:sz="8" w:space="0" w:color="A2A5AD" w:themeColor="accent2"/>
          <w:insideV w:val="single" w:sz="8" w:space="0" w:color="A2A5AD" w:themeColor="accent2"/>
        </w:tcBorders>
        <w:shd w:val="clear" w:color="auto" w:fill="E7E8EA" w:themeFill="accent2" w:themeFillTint="3F"/>
      </w:tcPr>
    </w:tblStylePr>
    <w:tblStylePr w:type="band2Horz">
      <w:tblPr/>
      <w:tcPr>
        <w:tcBorders>
          <w:top w:val="single" w:sz="8" w:space="0" w:color="A2A5AD" w:themeColor="accent2"/>
          <w:left w:val="single" w:sz="8" w:space="0" w:color="A2A5AD" w:themeColor="accent2"/>
          <w:bottom w:val="single" w:sz="8" w:space="0" w:color="A2A5AD" w:themeColor="accent2"/>
          <w:right w:val="single" w:sz="8" w:space="0" w:color="A2A5AD" w:themeColor="accent2"/>
          <w:insideV w:val="single" w:sz="8" w:space="0" w:color="A2A5AD"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insideH w:val="single" w:sz="8" w:space="0" w:color="D6E7F2" w:themeColor="accent3"/>
        <w:insideV w:val="single" w:sz="8" w:space="0" w:color="D6E7F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E7F2" w:themeColor="accent3"/>
          <w:left w:val="single" w:sz="8" w:space="0" w:color="D6E7F2" w:themeColor="accent3"/>
          <w:bottom w:val="single" w:sz="18" w:space="0" w:color="D6E7F2" w:themeColor="accent3"/>
          <w:right w:val="single" w:sz="8" w:space="0" w:color="D6E7F2" w:themeColor="accent3"/>
          <w:insideH w:val="nil"/>
          <w:insideV w:val="single" w:sz="8" w:space="0" w:color="D6E7F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E7F2" w:themeColor="accent3"/>
          <w:left w:val="single" w:sz="8" w:space="0" w:color="D6E7F2" w:themeColor="accent3"/>
          <w:bottom w:val="single" w:sz="8" w:space="0" w:color="D6E7F2" w:themeColor="accent3"/>
          <w:right w:val="single" w:sz="8" w:space="0" w:color="D6E7F2" w:themeColor="accent3"/>
          <w:insideH w:val="nil"/>
          <w:insideV w:val="single" w:sz="8" w:space="0" w:color="D6E7F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tcPr>
    </w:tblStylePr>
    <w:tblStylePr w:type="band1Vert">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shd w:val="clear" w:color="auto" w:fill="F4F8FB" w:themeFill="accent3" w:themeFillTint="3F"/>
      </w:tcPr>
    </w:tblStylePr>
    <w:tblStylePr w:type="band1Horz">
      <w:tblPr/>
      <w:tcPr>
        <w:tcBorders>
          <w:top w:val="single" w:sz="8" w:space="0" w:color="D6E7F2" w:themeColor="accent3"/>
          <w:left w:val="single" w:sz="8" w:space="0" w:color="D6E7F2" w:themeColor="accent3"/>
          <w:bottom w:val="single" w:sz="8" w:space="0" w:color="D6E7F2" w:themeColor="accent3"/>
          <w:right w:val="single" w:sz="8" w:space="0" w:color="D6E7F2" w:themeColor="accent3"/>
          <w:insideV w:val="single" w:sz="8" w:space="0" w:color="D6E7F2" w:themeColor="accent3"/>
        </w:tcBorders>
        <w:shd w:val="clear" w:color="auto" w:fill="F4F8FB" w:themeFill="accent3" w:themeFillTint="3F"/>
      </w:tcPr>
    </w:tblStylePr>
    <w:tblStylePr w:type="band2Horz">
      <w:tblPr/>
      <w:tcPr>
        <w:tcBorders>
          <w:top w:val="single" w:sz="8" w:space="0" w:color="D6E7F2" w:themeColor="accent3"/>
          <w:left w:val="single" w:sz="8" w:space="0" w:color="D6E7F2" w:themeColor="accent3"/>
          <w:bottom w:val="single" w:sz="8" w:space="0" w:color="D6E7F2" w:themeColor="accent3"/>
          <w:right w:val="single" w:sz="8" w:space="0" w:color="D6E7F2" w:themeColor="accent3"/>
          <w:insideV w:val="single" w:sz="8" w:space="0" w:color="D6E7F2"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insideH w:val="single" w:sz="8" w:space="0" w:color="EFF6FA" w:themeColor="accent4"/>
        <w:insideV w:val="single" w:sz="8" w:space="0" w:color="EFF6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F6FA" w:themeColor="accent4"/>
          <w:left w:val="single" w:sz="8" w:space="0" w:color="EFF6FA" w:themeColor="accent4"/>
          <w:bottom w:val="single" w:sz="18" w:space="0" w:color="EFF6FA" w:themeColor="accent4"/>
          <w:right w:val="single" w:sz="8" w:space="0" w:color="EFF6FA" w:themeColor="accent4"/>
          <w:insideH w:val="nil"/>
          <w:insideV w:val="single" w:sz="8" w:space="0" w:color="EFF6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F6FA" w:themeColor="accent4"/>
          <w:left w:val="single" w:sz="8" w:space="0" w:color="EFF6FA" w:themeColor="accent4"/>
          <w:bottom w:val="single" w:sz="8" w:space="0" w:color="EFF6FA" w:themeColor="accent4"/>
          <w:right w:val="single" w:sz="8" w:space="0" w:color="EFF6FA" w:themeColor="accent4"/>
          <w:insideH w:val="nil"/>
          <w:insideV w:val="single" w:sz="8" w:space="0" w:color="EFF6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tcPr>
    </w:tblStylePr>
    <w:tblStylePr w:type="band1Vert">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shd w:val="clear" w:color="auto" w:fill="FAFCFD" w:themeFill="accent4" w:themeFillTint="3F"/>
      </w:tcPr>
    </w:tblStylePr>
    <w:tblStylePr w:type="band1Horz">
      <w:tblPr/>
      <w:tcPr>
        <w:tcBorders>
          <w:top w:val="single" w:sz="8" w:space="0" w:color="EFF6FA" w:themeColor="accent4"/>
          <w:left w:val="single" w:sz="8" w:space="0" w:color="EFF6FA" w:themeColor="accent4"/>
          <w:bottom w:val="single" w:sz="8" w:space="0" w:color="EFF6FA" w:themeColor="accent4"/>
          <w:right w:val="single" w:sz="8" w:space="0" w:color="EFF6FA" w:themeColor="accent4"/>
          <w:insideV w:val="single" w:sz="8" w:space="0" w:color="EFF6FA" w:themeColor="accent4"/>
        </w:tcBorders>
        <w:shd w:val="clear" w:color="auto" w:fill="FAFCFD" w:themeFill="accent4" w:themeFillTint="3F"/>
      </w:tcPr>
    </w:tblStylePr>
    <w:tblStylePr w:type="band2Horz">
      <w:tblPr/>
      <w:tcPr>
        <w:tcBorders>
          <w:top w:val="single" w:sz="8" w:space="0" w:color="EFF6FA" w:themeColor="accent4"/>
          <w:left w:val="single" w:sz="8" w:space="0" w:color="EFF6FA" w:themeColor="accent4"/>
          <w:bottom w:val="single" w:sz="8" w:space="0" w:color="EFF6FA" w:themeColor="accent4"/>
          <w:right w:val="single" w:sz="8" w:space="0" w:color="EFF6FA" w:themeColor="accent4"/>
          <w:insideV w:val="single" w:sz="8" w:space="0" w:color="EFF6FA"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insideH w:val="single" w:sz="8" w:space="0" w:color="CCEAE6" w:themeColor="accent5"/>
        <w:insideV w:val="single" w:sz="8" w:space="0" w:color="CCEA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EAE6" w:themeColor="accent5"/>
          <w:left w:val="single" w:sz="8" w:space="0" w:color="CCEAE6" w:themeColor="accent5"/>
          <w:bottom w:val="single" w:sz="18" w:space="0" w:color="CCEAE6" w:themeColor="accent5"/>
          <w:right w:val="single" w:sz="8" w:space="0" w:color="CCEAE6" w:themeColor="accent5"/>
          <w:insideH w:val="nil"/>
          <w:insideV w:val="single" w:sz="8" w:space="0" w:color="CCEA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EAE6" w:themeColor="accent5"/>
          <w:left w:val="single" w:sz="8" w:space="0" w:color="CCEAE6" w:themeColor="accent5"/>
          <w:bottom w:val="single" w:sz="8" w:space="0" w:color="CCEAE6" w:themeColor="accent5"/>
          <w:right w:val="single" w:sz="8" w:space="0" w:color="CCEAE6" w:themeColor="accent5"/>
          <w:insideH w:val="nil"/>
          <w:insideV w:val="single" w:sz="8" w:space="0" w:color="CCEA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tcPr>
    </w:tblStylePr>
    <w:tblStylePr w:type="band1Vert">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shd w:val="clear" w:color="auto" w:fill="F2F9F8" w:themeFill="accent5" w:themeFillTint="3F"/>
      </w:tcPr>
    </w:tblStylePr>
    <w:tblStylePr w:type="band1Horz">
      <w:tblPr/>
      <w:tcPr>
        <w:tcBorders>
          <w:top w:val="single" w:sz="8" w:space="0" w:color="CCEAE6" w:themeColor="accent5"/>
          <w:left w:val="single" w:sz="8" w:space="0" w:color="CCEAE6" w:themeColor="accent5"/>
          <w:bottom w:val="single" w:sz="8" w:space="0" w:color="CCEAE6" w:themeColor="accent5"/>
          <w:right w:val="single" w:sz="8" w:space="0" w:color="CCEAE6" w:themeColor="accent5"/>
          <w:insideV w:val="single" w:sz="8" w:space="0" w:color="CCEAE6" w:themeColor="accent5"/>
        </w:tcBorders>
        <w:shd w:val="clear" w:color="auto" w:fill="F2F9F8" w:themeFill="accent5" w:themeFillTint="3F"/>
      </w:tcPr>
    </w:tblStylePr>
    <w:tblStylePr w:type="band2Horz">
      <w:tblPr/>
      <w:tcPr>
        <w:tcBorders>
          <w:top w:val="single" w:sz="8" w:space="0" w:color="CCEAE6" w:themeColor="accent5"/>
          <w:left w:val="single" w:sz="8" w:space="0" w:color="CCEAE6" w:themeColor="accent5"/>
          <w:bottom w:val="single" w:sz="8" w:space="0" w:color="CCEAE6" w:themeColor="accent5"/>
          <w:right w:val="single" w:sz="8" w:space="0" w:color="CCEAE6" w:themeColor="accent5"/>
          <w:insideV w:val="single" w:sz="8" w:space="0" w:color="CCEAE6"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insideH w:val="single" w:sz="8" w:space="0" w:color="57626E" w:themeColor="accent6"/>
        <w:insideV w:val="single" w:sz="8" w:space="0" w:color="57626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626E" w:themeColor="accent6"/>
          <w:left w:val="single" w:sz="8" w:space="0" w:color="57626E" w:themeColor="accent6"/>
          <w:bottom w:val="single" w:sz="18" w:space="0" w:color="57626E" w:themeColor="accent6"/>
          <w:right w:val="single" w:sz="8" w:space="0" w:color="57626E" w:themeColor="accent6"/>
          <w:insideH w:val="nil"/>
          <w:insideV w:val="single" w:sz="8" w:space="0" w:color="57626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626E" w:themeColor="accent6"/>
          <w:left w:val="single" w:sz="8" w:space="0" w:color="57626E" w:themeColor="accent6"/>
          <w:bottom w:val="single" w:sz="8" w:space="0" w:color="57626E" w:themeColor="accent6"/>
          <w:right w:val="single" w:sz="8" w:space="0" w:color="57626E" w:themeColor="accent6"/>
          <w:insideH w:val="nil"/>
          <w:insideV w:val="single" w:sz="8" w:space="0" w:color="57626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tcPr>
    </w:tblStylePr>
    <w:tblStylePr w:type="band1Vert">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shd w:val="clear" w:color="auto" w:fill="D3D8DC" w:themeFill="accent6" w:themeFillTint="3F"/>
      </w:tcPr>
    </w:tblStylePr>
    <w:tblStylePr w:type="band1Horz">
      <w:tblPr/>
      <w:tcPr>
        <w:tcBorders>
          <w:top w:val="single" w:sz="8" w:space="0" w:color="57626E" w:themeColor="accent6"/>
          <w:left w:val="single" w:sz="8" w:space="0" w:color="57626E" w:themeColor="accent6"/>
          <w:bottom w:val="single" w:sz="8" w:space="0" w:color="57626E" w:themeColor="accent6"/>
          <w:right w:val="single" w:sz="8" w:space="0" w:color="57626E" w:themeColor="accent6"/>
          <w:insideV w:val="single" w:sz="8" w:space="0" w:color="57626E" w:themeColor="accent6"/>
        </w:tcBorders>
        <w:shd w:val="clear" w:color="auto" w:fill="D3D8DC" w:themeFill="accent6" w:themeFillTint="3F"/>
      </w:tcPr>
    </w:tblStylePr>
    <w:tblStylePr w:type="band2Horz">
      <w:tblPr/>
      <w:tcPr>
        <w:tcBorders>
          <w:top w:val="single" w:sz="8" w:space="0" w:color="57626E" w:themeColor="accent6"/>
          <w:left w:val="single" w:sz="8" w:space="0" w:color="57626E" w:themeColor="accent6"/>
          <w:bottom w:val="single" w:sz="8" w:space="0" w:color="57626E" w:themeColor="accent6"/>
          <w:right w:val="single" w:sz="8" w:space="0" w:color="57626E" w:themeColor="accent6"/>
          <w:insideV w:val="single" w:sz="8" w:space="0" w:color="57626E"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tblBorders>
    </w:tblPr>
    <w:tblStylePr w:type="firstRow">
      <w:pPr>
        <w:spacing w:before="0" w:after="0" w:line="240" w:lineRule="auto"/>
      </w:pPr>
      <w:rPr>
        <w:b/>
        <w:bCs/>
        <w:color w:val="FFFFFF" w:themeColor="background1"/>
      </w:rPr>
      <w:tblPr/>
      <w:tcPr>
        <w:shd w:val="clear" w:color="auto" w:fill="D8D8D8" w:themeFill="accent1"/>
      </w:tcPr>
    </w:tblStylePr>
    <w:tblStylePr w:type="lastRow">
      <w:pPr>
        <w:spacing w:before="0" w:after="0" w:line="240" w:lineRule="auto"/>
      </w:pPr>
      <w:rPr>
        <w:b/>
        <w:bCs/>
      </w:rPr>
      <w:tblPr/>
      <w:tcPr>
        <w:tcBorders>
          <w:top w:val="double" w:sz="6" w:space="0" w:color="D8D8D8" w:themeColor="accent1"/>
          <w:left w:val="single" w:sz="8" w:space="0" w:color="D8D8D8" w:themeColor="accent1"/>
          <w:bottom w:val="single" w:sz="8" w:space="0" w:color="D8D8D8" w:themeColor="accent1"/>
          <w:right w:val="single" w:sz="8" w:space="0" w:color="D8D8D8" w:themeColor="accent1"/>
        </w:tcBorders>
      </w:tcPr>
    </w:tblStylePr>
    <w:tblStylePr w:type="firstCol">
      <w:rPr>
        <w:b/>
        <w:bCs/>
      </w:rPr>
    </w:tblStylePr>
    <w:tblStylePr w:type="lastCol">
      <w:rPr>
        <w:b/>
        <w:bCs/>
      </w:rPr>
    </w:tblStylePr>
    <w:tblStylePr w:type="band1Vert">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tcPr>
    </w:tblStylePr>
    <w:tblStylePr w:type="band1Horz">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tblBorders>
    </w:tblPr>
    <w:tblStylePr w:type="firstRow">
      <w:pPr>
        <w:spacing w:before="0" w:after="0" w:line="240" w:lineRule="auto"/>
      </w:pPr>
      <w:rPr>
        <w:b/>
        <w:bCs/>
        <w:color w:val="FFFFFF" w:themeColor="background1"/>
      </w:rPr>
      <w:tblPr/>
      <w:tcPr>
        <w:shd w:val="clear" w:color="auto" w:fill="A2A5AD" w:themeFill="accent2"/>
      </w:tcPr>
    </w:tblStylePr>
    <w:tblStylePr w:type="lastRow">
      <w:pPr>
        <w:spacing w:before="0" w:after="0" w:line="240" w:lineRule="auto"/>
      </w:pPr>
      <w:rPr>
        <w:b/>
        <w:bCs/>
      </w:rPr>
      <w:tblPr/>
      <w:tcPr>
        <w:tcBorders>
          <w:top w:val="double" w:sz="6" w:space="0" w:color="A2A5AD" w:themeColor="accent2"/>
          <w:left w:val="single" w:sz="8" w:space="0" w:color="A2A5AD" w:themeColor="accent2"/>
          <w:bottom w:val="single" w:sz="8" w:space="0" w:color="A2A5AD" w:themeColor="accent2"/>
          <w:right w:val="single" w:sz="8" w:space="0" w:color="A2A5AD" w:themeColor="accent2"/>
        </w:tcBorders>
      </w:tcPr>
    </w:tblStylePr>
    <w:tblStylePr w:type="firstCol">
      <w:rPr>
        <w:b/>
        <w:bCs/>
      </w:rPr>
    </w:tblStylePr>
    <w:tblStylePr w:type="lastCol">
      <w:rPr>
        <w:b/>
        <w:bCs/>
      </w:rPr>
    </w:tblStylePr>
    <w:tblStylePr w:type="band1Vert">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tcPr>
    </w:tblStylePr>
    <w:tblStylePr w:type="band1Horz">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tblBorders>
    </w:tblPr>
    <w:tblStylePr w:type="firstRow">
      <w:pPr>
        <w:spacing w:before="0" w:after="0" w:line="240" w:lineRule="auto"/>
      </w:pPr>
      <w:rPr>
        <w:b/>
        <w:bCs/>
        <w:color w:val="FFFFFF" w:themeColor="background1"/>
      </w:rPr>
      <w:tblPr/>
      <w:tcPr>
        <w:shd w:val="clear" w:color="auto" w:fill="D6E7F2" w:themeFill="accent3"/>
      </w:tcPr>
    </w:tblStylePr>
    <w:tblStylePr w:type="lastRow">
      <w:pPr>
        <w:spacing w:before="0" w:after="0" w:line="240" w:lineRule="auto"/>
      </w:pPr>
      <w:rPr>
        <w:b/>
        <w:bCs/>
      </w:rPr>
      <w:tblPr/>
      <w:tcPr>
        <w:tcBorders>
          <w:top w:val="double" w:sz="6" w:space="0" w:color="D6E7F2" w:themeColor="accent3"/>
          <w:left w:val="single" w:sz="8" w:space="0" w:color="D6E7F2" w:themeColor="accent3"/>
          <w:bottom w:val="single" w:sz="8" w:space="0" w:color="D6E7F2" w:themeColor="accent3"/>
          <w:right w:val="single" w:sz="8" w:space="0" w:color="D6E7F2" w:themeColor="accent3"/>
        </w:tcBorders>
      </w:tcPr>
    </w:tblStylePr>
    <w:tblStylePr w:type="firstCol">
      <w:rPr>
        <w:b/>
        <w:bCs/>
      </w:rPr>
    </w:tblStylePr>
    <w:tblStylePr w:type="lastCol">
      <w:rPr>
        <w:b/>
        <w:bCs/>
      </w:rPr>
    </w:tblStylePr>
    <w:tblStylePr w:type="band1Vert">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tcPr>
    </w:tblStylePr>
    <w:tblStylePr w:type="band1Horz">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tblBorders>
    </w:tblPr>
    <w:tblStylePr w:type="firstRow">
      <w:pPr>
        <w:spacing w:before="0" w:after="0" w:line="240" w:lineRule="auto"/>
      </w:pPr>
      <w:rPr>
        <w:b/>
        <w:bCs/>
        <w:color w:val="FFFFFF" w:themeColor="background1"/>
      </w:rPr>
      <w:tblPr/>
      <w:tcPr>
        <w:shd w:val="clear" w:color="auto" w:fill="EFF6FA" w:themeFill="accent4"/>
      </w:tcPr>
    </w:tblStylePr>
    <w:tblStylePr w:type="lastRow">
      <w:pPr>
        <w:spacing w:before="0" w:after="0" w:line="240" w:lineRule="auto"/>
      </w:pPr>
      <w:rPr>
        <w:b/>
        <w:bCs/>
      </w:rPr>
      <w:tblPr/>
      <w:tcPr>
        <w:tcBorders>
          <w:top w:val="double" w:sz="6" w:space="0" w:color="EFF6FA" w:themeColor="accent4"/>
          <w:left w:val="single" w:sz="8" w:space="0" w:color="EFF6FA" w:themeColor="accent4"/>
          <w:bottom w:val="single" w:sz="8" w:space="0" w:color="EFF6FA" w:themeColor="accent4"/>
          <w:right w:val="single" w:sz="8" w:space="0" w:color="EFF6FA" w:themeColor="accent4"/>
        </w:tcBorders>
      </w:tcPr>
    </w:tblStylePr>
    <w:tblStylePr w:type="firstCol">
      <w:rPr>
        <w:b/>
        <w:bCs/>
      </w:rPr>
    </w:tblStylePr>
    <w:tblStylePr w:type="lastCol">
      <w:rPr>
        <w:b/>
        <w:bCs/>
      </w:rPr>
    </w:tblStylePr>
    <w:tblStylePr w:type="band1Vert">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tcPr>
    </w:tblStylePr>
    <w:tblStylePr w:type="band1Horz">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tblBorders>
    </w:tblPr>
    <w:tblStylePr w:type="firstRow">
      <w:pPr>
        <w:spacing w:before="0" w:after="0" w:line="240" w:lineRule="auto"/>
      </w:pPr>
      <w:rPr>
        <w:b/>
        <w:bCs/>
        <w:color w:val="FFFFFF" w:themeColor="background1"/>
      </w:rPr>
      <w:tblPr/>
      <w:tcPr>
        <w:shd w:val="clear" w:color="auto" w:fill="CCEAE6" w:themeFill="accent5"/>
      </w:tcPr>
    </w:tblStylePr>
    <w:tblStylePr w:type="lastRow">
      <w:pPr>
        <w:spacing w:before="0" w:after="0" w:line="240" w:lineRule="auto"/>
      </w:pPr>
      <w:rPr>
        <w:b/>
        <w:bCs/>
      </w:rPr>
      <w:tblPr/>
      <w:tcPr>
        <w:tcBorders>
          <w:top w:val="double" w:sz="6" w:space="0" w:color="CCEAE6" w:themeColor="accent5"/>
          <w:left w:val="single" w:sz="8" w:space="0" w:color="CCEAE6" w:themeColor="accent5"/>
          <w:bottom w:val="single" w:sz="8" w:space="0" w:color="CCEAE6" w:themeColor="accent5"/>
          <w:right w:val="single" w:sz="8" w:space="0" w:color="CCEAE6" w:themeColor="accent5"/>
        </w:tcBorders>
      </w:tcPr>
    </w:tblStylePr>
    <w:tblStylePr w:type="firstCol">
      <w:rPr>
        <w:b/>
        <w:bCs/>
      </w:rPr>
    </w:tblStylePr>
    <w:tblStylePr w:type="lastCol">
      <w:rPr>
        <w:b/>
        <w:bCs/>
      </w:rPr>
    </w:tblStylePr>
    <w:tblStylePr w:type="band1Vert">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tcPr>
    </w:tblStylePr>
    <w:tblStylePr w:type="band1Horz">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tblBorders>
    </w:tblPr>
    <w:tblStylePr w:type="firstRow">
      <w:pPr>
        <w:spacing w:before="0" w:after="0" w:line="240" w:lineRule="auto"/>
      </w:pPr>
      <w:rPr>
        <w:b/>
        <w:bCs/>
        <w:color w:val="FFFFFF" w:themeColor="background1"/>
      </w:rPr>
      <w:tblPr/>
      <w:tcPr>
        <w:shd w:val="clear" w:color="auto" w:fill="57626E" w:themeFill="accent6"/>
      </w:tcPr>
    </w:tblStylePr>
    <w:tblStylePr w:type="lastRow">
      <w:pPr>
        <w:spacing w:before="0" w:after="0" w:line="240" w:lineRule="auto"/>
      </w:pPr>
      <w:rPr>
        <w:b/>
        <w:bCs/>
      </w:rPr>
      <w:tblPr/>
      <w:tcPr>
        <w:tcBorders>
          <w:top w:val="double" w:sz="6" w:space="0" w:color="57626E" w:themeColor="accent6"/>
          <w:left w:val="single" w:sz="8" w:space="0" w:color="57626E" w:themeColor="accent6"/>
          <w:bottom w:val="single" w:sz="8" w:space="0" w:color="57626E" w:themeColor="accent6"/>
          <w:right w:val="single" w:sz="8" w:space="0" w:color="57626E" w:themeColor="accent6"/>
        </w:tcBorders>
      </w:tcPr>
    </w:tblStylePr>
    <w:tblStylePr w:type="firstCol">
      <w:rPr>
        <w:b/>
        <w:bCs/>
      </w:rPr>
    </w:tblStylePr>
    <w:tblStylePr w:type="lastCol">
      <w:rPr>
        <w:b/>
        <w:bCs/>
      </w:rPr>
    </w:tblStylePr>
    <w:tblStylePr w:type="band1Vert">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tcPr>
    </w:tblStylePr>
    <w:tblStylePr w:type="band1Horz">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tcPr>
    </w:tblStylePr>
  </w:style>
  <w:style w:type="table" w:styleId="LightShading">
    <w:name w:val="Light Shading"/>
    <w:basedOn w:val="TableNormal"/>
    <w:uiPriority w:val="60"/>
    <w:semiHidden/>
    <w:rsid w:val="00B918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B91810"/>
    <w:pPr>
      <w:spacing w:after="0" w:line="240" w:lineRule="auto"/>
    </w:pPr>
    <w:rPr>
      <w:color w:val="A1A1A1" w:themeColor="accent1" w:themeShade="BF"/>
    </w:rPr>
    <w:tblPr>
      <w:tblStyleRowBandSize w:val="1"/>
      <w:tblStyleColBandSize w:val="1"/>
      <w:tblBorders>
        <w:top w:val="single" w:sz="8" w:space="0" w:color="D8D8D8" w:themeColor="accent1"/>
        <w:bottom w:val="single" w:sz="8" w:space="0" w:color="D8D8D8" w:themeColor="accent1"/>
      </w:tblBorders>
    </w:tblPr>
    <w:tblStylePr w:type="firstRow">
      <w:pPr>
        <w:spacing w:before="0" w:after="0" w:line="240" w:lineRule="auto"/>
      </w:pPr>
      <w:rPr>
        <w:b/>
        <w:bCs/>
      </w:rPr>
      <w:tblPr/>
      <w:tcPr>
        <w:tcBorders>
          <w:top w:val="single" w:sz="8" w:space="0" w:color="D8D8D8" w:themeColor="accent1"/>
          <w:left w:val="nil"/>
          <w:bottom w:val="single" w:sz="8" w:space="0" w:color="D8D8D8" w:themeColor="accent1"/>
          <w:right w:val="nil"/>
          <w:insideH w:val="nil"/>
          <w:insideV w:val="nil"/>
        </w:tcBorders>
      </w:tcPr>
    </w:tblStylePr>
    <w:tblStylePr w:type="lastRow">
      <w:pPr>
        <w:spacing w:before="0" w:after="0" w:line="240" w:lineRule="auto"/>
      </w:pPr>
      <w:rPr>
        <w:b/>
        <w:bCs/>
      </w:rPr>
      <w:tblPr/>
      <w:tcPr>
        <w:tcBorders>
          <w:top w:val="single" w:sz="8" w:space="0" w:color="D8D8D8" w:themeColor="accent1"/>
          <w:left w:val="nil"/>
          <w:bottom w:val="single" w:sz="8" w:space="0" w:color="D8D8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1" w:themeFillTint="3F"/>
      </w:tcPr>
    </w:tblStylePr>
    <w:tblStylePr w:type="band1Horz">
      <w:tblPr/>
      <w:tcPr>
        <w:tcBorders>
          <w:left w:val="nil"/>
          <w:right w:val="nil"/>
          <w:insideH w:val="nil"/>
          <w:insideV w:val="nil"/>
        </w:tcBorders>
        <w:shd w:val="clear" w:color="auto" w:fill="F5F5F5"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757985" w:themeColor="accent2" w:themeShade="BF"/>
    </w:rPr>
    <w:tblPr>
      <w:tblStyleRowBandSize w:val="1"/>
      <w:tblStyleColBandSize w:val="1"/>
      <w:tblBorders>
        <w:top w:val="single" w:sz="8" w:space="0" w:color="A2A5AD" w:themeColor="accent2"/>
        <w:bottom w:val="single" w:sz="8" w:space="0" w:color="A2A5AD" w:themeColor="accent2"/>
      </w:tblBorders>
    </w:tblPr>
    <w:tblStylePr w:type="firstRow">
      <w:pPr>
        <w:spacing w:before="0" w:after="0" w:line="240" w:lineRule="auto"/>
      </w:pPr>
      <w:rPr>
        <w:b/>
        <w:bCs/>
      </w:rPr>
      <w:tblPr/>
      <w:tcPr>
        <w:tcBorders>
          <w:top w:val="single" w:sz="8" w:space="0" w:color="A2A5AD" w:themeColor="accent2"/>
          <w:left w:val="nil"/>
          <w:bottom w:val="single" w:sz="8" w:space="0" w:color="A2A5AD" w:themeColor="accent2"/>
          <w:right w:val="nil"/>
          <w:insideH w:val="nil"/>
          <w:insideV w:val="nil"/>
        </w:tcBorders>
      </w:tcPr>
    </w:tblStylePr>
    <w:tblStylePr w:type="lastRow">
      <w:pPr>
        <w:spacing w:before="0" w:after="0" w:line="240" w:lineRule="auto"/>
      </w:pPr>
      <w:rPr>
        <w:b/>
        <w:bCs/>
      </w:rPr>
      <w:tblPr/>
      <w:tcPr>
        <w:tcBorders>
          <w:top w:val="single" w:sz="8" w:space="0" w:color="A2A5AD" w:themeColor="accent2"/>
          <w:left w:val="nil"/>
          <w:bottom w:val="single" w:sz="8" w:space="0" w:color="A2A5A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8EA" w:themeFill="accent2" w:themeFillTint="3F"/>
      </w:tcPr>
    </w:tblStylePr>
    <w:tblStylePr w:type="band1Horz">
      <w:tblPr/>
      <w:tcPr>
        <w:tcBorders>
          <w:left w:val="nil"/>
          <w:right w:val="nil"/>
          <w:insideH w:val="nil"/>
          <w:insideV w:val="nil"/>
        </w:tcBorders>
        <w:shd w:val="clear" w:color="auto" w:fill="E7E8EA"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7EB3D6" w:themeColor="accent3" w:themeShade="BF"/>
    </w:rPr>
    <w:tblPr>
      <w:tblStyleRowBandSize w:val="1"/>
      <w:tblStyleColBandSize w:val="1"/>
      <w:tblBorders>
        <w:top w:val="single" w:sz="8" w:space="0" w:color="D6E7F2" w:themeColor="accent3"/>
        <w:bottom w:val="single" w:sz="8" w:space="0" w:color="D6E7F2" w:themeColor="accent3"/>
      </w:tblBorders>
    </w:tblPr>
    <w:tblStylePr w:type="firstRow">
      <w:pPr>
        <w:spacing w:before="0" w:after="0" w:line="240" w:lineRule="auto"/>
      </w:pPr>
      <w:rPr>
        <w:b/>
        <w:bCs/>
      </w:rPr>
      <w:tblPr/>
      <w:tcPr>
        <w:tcBorders>
          <w:top w:val="single" w:sz="8" w:space="0" w:color="D6E7F2" w:themeColor="accent3"/>
          <w:left w:val="nil"/>
          <w:bottom w:val="single" w:sz="8" w:space="0" w:color="D6E7F2" w:themeColor="accent3"/>
          <w:right w:val="nil"/>
          <w:insideH w:val="nil"/>
          <w:insideV w:val="nil"/>
        </w:tcBorders>
      </w:tcPr>
    </w:tblStylePr>
    <w:tblStylePr w:type="lastRow">
      <w:pPr>
        <w:spacing w:before="0" w:after="0" w:line="240" w:lineRule="auto"/>
      </w:pPr>
      <w:rPr>
        <w:b/>
        <w:bCs/>
      </w:rPr>
      <w:tblPr/>
      <w:tcPr>
        <w:tcBorders>
          <w:top w:val="single" w:sz="8" w:space="0" w:color="D6E7F2" w:themeColor="accent3"/>
          <w:left w:val="nil"/>
          <w:bottom w:val="single" w:sz="8" w:space="0" w:color="D6E7F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8FB" w:themeFill="accent3" w:themeFillTint="3F"/>
      </w:tcPr>
    </w:tblStylePr>
    <w:tblStylePr w:type="band1Horz">
      <w:tblPr/>
      <w:tcPr>
        <w:tcBorders>
          <w:left w:val="nil"/>
          <w:right w:val="nil"/>
          <w:insideH w:val="nil"/>
          <w:insideV w:val="nil"/>
        </w:tcBorders>
        <w:shd w:val="clear" w:color="auto" w:fill="F4F8FB"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91C1DC" w:themeColor="accent4" w:themeShade="BF"/>
    </w:rPr>
    <w:tblPr>
      <w:tblStyleRowBandSize w:val="1"/>
      <w:tblStyleColBandSize w:val="1"/>
      <w:tblBorders>
        <w:top w:val="single" w:sz="8" w:space="0" w:color="EFF6FA" w:themeColor="accent4"/>
        <w:bottom w:val="single" w:sz="8" w:space="0" w:color="EFF6FA" w:themeColor="accent4"/>
      </w:tblBorders>
    </w:tblPr>
    <w:tblStylePr w:type="firstRow">
      <w:pPr>
        <w:spacing w:before="0" w:after="0" w:line="240" w:lineRule="auto"/>
      </w:pPr>
      <w:rPr>
        <w:b/>
        <w:bCs/>
      </w:rPr>
      <w:tblPr/>
      <w:tcPr>
        <w:tcBorders>
          <w:top w:val="single" w:sz="8" w:space="0" w:color="EFF6FA" w:themeColor="accent4"/>
          <w:left w:val="nil"/>
          <w:bottom w:val="single" w:sz="8" w:space="0" w:color="EFF6FA" w:themeColor="accent4"/>
          <w:right w:val="nil"/>
          <w:insideH w:val="nil"/>
          <w:insideV w:val="nil"/>
        </w:tcBorders>
      </w:tcPr>
    </w:tblStylePr>
    <w:tblStylePr w:type="lastRow">
      <w:pPr>
        <w:spacing w:before="0" w:after="0" w:line="240" w:lineRule="auto"/>
      </w:pPr>
      <w:rPr>
        <w:b/>
        <w:bCs/>
      </w:rPr>
      <w:tblPr/>
      <w:tcPr>
        <w:tcBorders>
          <w:top w:val="single" w:sz="8" w:space="0" w:color="EFF6FA" w:themeColor="accent4"/>
          <w:left w:val="nil"/>
          <w:bottom w:val="single" w:sz="8" w:space="0" w:color="EFF6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4" w:themeFillTint="3F"/>
      </w:tcPr>
    </w:tblStylePr>
    <w:tblStylePr w:type="band1Horz">
      <w:tblPr/>
      <w:tcPr>
        <w:tcBorders>
          <w:left w:val="nil"/>
          <w:right w:val="nil"/>
          <w:insideH w:val="nil"/>
          <w:insideV w:val="nil"/>
        </w:tcBorders>
        <w:shd w:val="clear" w:color="auto" w:fill="FAFCFD"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7ECABF" w:themeColor="accent5" w:themeShade="BF"/>
    </w:rPr>
    <w:tblPr>
      <w:tblStyleRowBandSize w:val="1"/>
      <w:tblStyleColBandSize w:val="1"/>
      <w:tblBorders>
        <w:top w:val="single" w:sz="8" w:space="0" w:color="CCEAE6" w:themeColor="accent5"/>
        <w:bottom w:val="single" w:sz="8" w:space="0" w:color="CCEAE6" w:themeColor="accent5"/>
      </w:tblBorders>
    </w:tblPr>
    <w:tblStylePr w:type="firstRow">
      <w:pPr>
        <w:spacing w:before="0" w:after="0" w:line="240" w:lineRule="auto"/>
      </w:pPr>
      <w:rPr>
        <w:b/>
        <w:bCs/>
      </w:rPr>
      <w:tblPr/>
      <w:tcPr>
        <w:tcBorders>
          <w:top w:val="single" w:sz="8" w:space="0" w:color="CCEAE6" w:themeColor="accent5"/>
          <w:left w:val="nil"/>
          <w:bottom w:val="single" w:sz="8" w:space="0" w:color="CCEAE6" w:themeColor="accent5"/>
          <w:right w:val="nil"/>
          <w:insideH w:val="nil"/>
          <w:insideV w:val="nil"/>
        </w:tcBorders>
      </w:tcPr>
    </w:tblStylePr>
    <w:tblStylePr w:type="lastRow">
      <w:pPr>
        <w:spacing w:before="0" w:after="0" w:line="240" w:lineRule="auto"/>
      </w:pPr>
      <w:rPr>
        <w:b/>
        <w:bCs/>
      </w:rPr>
      <w:tblPr/>
      <w:tcPr>
        <w:tcBorders>
          <w:top w:val="single" w:sz="8" w:space="0" w:color="CCEAE6" w:themeColor="accent5"/>
          <w:left w:val="nil"/>
          <w:bottom w:val="single" w:sz="8" w:space="0" w:color="CCEA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9F8" w:themeFill="accent5" w:themeFillTint="3F"/>
      </w:tcPr>
    </w:tblStylePr>
    <w:tblStylePr w:type="band1Horz">
      <w:tblPr/>
      <w:tcPr>
        <w:tcBorders>
          <w:left w:val="nil"/>
          <w:right w:val="nil"/>
          <w:insideH w:val="nil"/>
          <w:insideV w:val="nil"/>
        </w:tcBorders>
        <w:shd w:val="clear" w:color="auto" w:fill="F2F9F8"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414952" w:themeColor="accent6" w:themeShade="BF"/>
    </w:rPr>
    <w:tblPr>
      <w:tblStyleRowBandSize w:val="1"/>
      <w:tblStyleColBandSize w:val="1"/>
      <w:tblBorders>
        <w:top w:val="single" w:sz="8" w:space="0" w:color="57626E" w:themeColor="accent6"/>
        <w:bottom w:val="single" w:sz="8" w:space="0" w:color="57626E" w:themeColor="accent6"/>
      </w:tblBorders>
    </w:tblPr>
    <w:tblStylePr w:type="firstRow">
      <w:pPr>
        <w:spacing w:before="0" w:after="0" w:line="240" w:lineRule="auto"/>
      </w:pPr>
      <w:rPr>
        <w:b/>
        <w:bCs/>
      </w:rPr>
      <w:tblPr/>
      <w:tcPr>
        <w:tcBorders>
          <w:top w:val="single" w:sz="8" w:space="0" w:color="57626E" w:themeColor="accent6"/>
          <w:left w:val="nil"/>
          <w:bottom w:val="single" w:sz="8" w:space="0" w:color="57626E" w:themeColor="accent6"/>
          <w:right w:val="nil"/>
          <w:insideH w:val="nil"/>
          <w:insideV w:val="nil"/>
        </w:tcBorders>
      </w:tcPr>
    </w:tblStylePr>
    <w:tblStylePr w:type="lastRow">
      <w:pPr>
        <w:spacing w:before="0" w:after="0" w:line="240" w:lineRule="auto"/>
      </w:pPr>
      <w:rPr>
        <w:b/>
        <w:bCs/>
      </w:rPr>
      <w:tblPr/>
      <w:tcPr>
        <w:tcBorders>
          <w:top w:val="single" w:sz="8" w:space="0" w:color="57626E" w:themeColor="accent6"/>
          <w:left w:val="nil"/>
          <w:bottom w:val="single" w:sz="8" w:space="0" w:color="57626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8DC" w:themeFill="accent6" w:themeFillTint="3F"/>
      </w:tcPr>
    </w:tblStylePr>
    <w:tblStylePr w:type="band1Horz">
      <w:tblPr/>
      <w:tcPr>
        <w:tcBorders>
          <w:left w:val="nil"/>
          <w:right w:val="nil"/>
          <w:insideH w:val="nil"/>
          <w:insideV w:val="nil"/>
        </w:tcBorders>
        <w:shd w:val="clear" w:color="auto" w:fill="D3D8DC"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spacing w:after="120"/>
      <w:ind w:left="283"/>
      <w:contextualSpacing/>
    </w:pPr>
  </w:style>
  <w:style w:type="paragraph" w:styleId="ListContinue2">
    <w:name w:val="List Continue 2"/>
    <w:basedOn w:val="Normal"/>
    <w:uiPriority w:val="99"/>
    <w:semiHidden/>
    <w:unhideWhenUsed/>
    <w:rsid w:val="00B91810"/>
    <w:pPr>
      <w:spacing w:after="120"/>
      <w:ind w:left="566"/>
      <w:contextualSpacing/>
    </w:pPr>
  </w:style>
  <w:style w:type="paragraph" w:styleId="ListContinue3">
    <w:name w:val="List Continue 3"/>
    <w:basedOn w:val="Normal"/>
    <w:uiPriority w:val="99"/>
    <w:semiHidden/>
    <w:unhideWhenUsed/>
    <w:rsid w:val="00B91810"/>
    <w:pPr>
      <w:spacing w:after="120"/>
      <w:ind w:left="849"/>
      <w:contextualSpacing/>
    </w:pPr>
  </w:style>
  <w:style w:type="paragraph" w:styleId="ListContinue4">
    <w:name w:val="List Continue 4"/>
    <w:basedOn w:val="Normal"/>
    <w:uiPriority w:val="99"/>
    <w:semiHidden/>
    <w:unhideWhenUsed/>
    <w:rsid w:val="00B91810"/>
    <w:pPr>
      <w:spacing w:after="120"/>
      <w:ind w:left="1132"/>
      <w:contextualSpacing/>
    </w:pPr>
  </w:style>
  <w:style w:type="paragraph" w:styleId="ListContinue5">
    <w:name w:val="List Continue 5"/>
    <w:basedOn w:val="Normal"/>
    <w:uiPriority w:val="99"/>
    <w:semiHidden/>
    <w:unhideWhenUsed/>
    <w:rsid w:val="00B91810"/>
    <w:pPr>
      <w:spacing w:after="120"/>
      <w:ind w:left="1415"/>
      <w:contextualSpacing/>
    </w:pPr>
  </w:style>
  <w:style w:type="paragraph" w:styleId="ListNumber">
    <w:name w:val="List Number"/>
    <w:basedOn w:val="Normal"/>
    <w:uiPriority w:val="12"/>
    <w:unhideWhenUsed/>
    <w:qFormat/>
    <w:rsid w:val="007B05CE"/>
    <w:pPr>
      <w:numPr>
        <w:numId w:val="13"/>
      </w:numPr>
      <w:spacing w:after="0"/>
      <w:contextualSpacing/>
    </w:pPr>
  </w:style>
  <w:style w:type="paragraph" w:styleId="ListNumber2">
    <w:name w:val="List Number 2"/>
    <w:basedOn w:val="Normal"/>
    <w:uiPriority w:val="13"/>
    <w:unhideWhenUsed/>
    <w:qFormat/>
    <w:rsid w:val="007B05CE"/>
    <w:pPr>
      <w:numPr>
        <w:ilvl w:val="1"/>
        <w:numId w:val="13"/>
      </w:numPr>
      <w:spacing w:after="0"/>
      <w:contextualSpacing/>
    </w:pPr>
  </w:style>
  <w:style w:type="paragraph" w:styleId="ListNumber3">
    <w:name w:val="List Number 3"/>
    <w:basedOn w:val="Normal"/>
    <w:uiPriority w:val="14"/>
    <w:unhideWhenUsed/>
    <w:qFormat/>
    <w:rsid w:val="007B05CE"/>
    <w:pPr>
      <w:numPr>
        <w:ilvl w:val="2"/>
        <w:numId w:val="13"/>
      </w:numPr>
      <w:spacing w:after="0"/>
      <w:contextualSpacing/>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semiHidden/>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single" w:sz="8" w:space="0" w:color="E1E1E1" w:themeColor="accent1" w:themeTint="BF"/>
        <w:insideV w:val="single" w:sz="8" w:space="0" w:color="E1E1E1" w:themeColor="accent1" w:themeTint="BF"/>
      </w:tblBorders>
    </w:tblPr>
    <w:tcPr>
      <w:shd w:val="clear" w:color="auto" w:fill="F5F5F5" w:themeFill="accent1" w:themeFillTint="3F"/>
    </w:tcPr>
    <w:tblStylePr w:type="firstRow">
      <w:rPr>
        <w:b/>
        <w:bCs/>
      </w:rPr>
    </w:tblStylePr>
    <w:tblStylePr w:type="lastRow">
      <w:rPr>
        <w:b/>
        <w:bCs/>
      </w:rPr>
      <w:tblPr/>
      <w:tcPr>
        <w:tcBorders>
          <w:top w:val="single" w:sz="18" w:space="0" w:color="E1E1E1" w:themeColor="accent1" w:themeTint="BF"/>
        </w:tcBorders>
      </w:tcPr>
    </w:tblStylePr>
    <w:tblStylePr w:type="firstCol">
      <w:rPr>
        <w:b/>
        <w:bCs/>
      </w:rPr>
    </w:tblStylePr>
    <w:tblStylePr w:type="lastCol">
      <w:rPr>
        <w:b/>
        <w:bCs/>
      </w:rPr>
    </w:tblStylePr>
    <w:tblStylePr w:type="band1Vert">
      <w:tblPr/>
      <w:tcPr>
        <w:shd w:val="clear" w:color="auto" w:fill="EBEBEB" w:themeFill="accent1" w:themeFillTint="7F"/>
      </w:tcPr>
    </w:tblStylePr>
    <w:tblStylePr w:type="band1Horz">
      <w:tblPr/>
      <w:tcPr>
        <w:shd w:val="clear" w:color="auto" w:fill="EBEBEB"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single" w:sz="8" w:space="0" w:color="B9BBC1" w:themeColor="accent2" w:themeTint="BF"/>
        <w:insideV w:val="single" w:sz="8" w:space="0" w:color="B9BBC1" w:themeColor="accent2" w:themeTint="BF"/>
      </w:tblBorders>
    </w:tblPr>
    <w:tcPr>
      <w:shd w:val="clear" w:color="auto" w:fill="E7E8EA" w:themeFill="accent2" w:themeFillTint="3F"/>
    </w:tcPr>
    <w:tblStylePr w:type="firstRow">
      <w:rPr>
        <w:b/>
        <w:bCs/>
      </w:rPr>
    </w:tblStylePr>
    <w:tblStylePr w:type="lastRow">
      <w:rPr>
        <w:b/>
        <w:bCs/>
      </w:rPr>
      <w:tblPr/>
      <w:tcPr>
        <w:tcBorders>
          <w:top w:val="single" w:sz="18" w:space="0" w:color="B9BBC1" w:themeColor="accent2" w:themeTint="BF"/>
        </w:tcBorders>
      </w:tcPr>
    </w:tblStylePr>
    <w:tblStylePr w:type="firstCol">
      <w:rPr>
        <w:b/>
        <w:bCs/>
      </w:rPr>
    </w:tblStylePr>
    <w:tblStylePr w:type="lastCol">
      <w:rPr>
        <w:b/>
        <w:bCs/>
      </w:rPr>
    </w:tblStylePr>
    <w:tblStylePr w:type="band1Vert">
      <w:tblPr/>
      <w:tcPr>
        <w:shd w:val="clear" w:color="auto" w:fill="D0D2D6" w:themeFill="accent2" w:themeFillTint="7F"/>
      </w:tcPr>
    </w:tblStylePr>
    <w:tblStylePr w:type="band1Horz">
      <w:tblPr/>
      <w:tcPr>
        <w:shd w:val="clear" w:color="auto" w:fill="D0D2D6"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single" w:sz="8" w:space="0" w:color="E0ECF5" w:themeColor="accent3" w:themeTint="BF"/>
        <w:insideV w:val="single" w:sz="8" w:space="0" w:color="E0ECF5" w:themeColor="accent3" w:themeTint="BF"/>
      </w:tblBorders>
    </w:tblPr>
    <w:tcPr>
      <w:shd w:val="clear" w:color="auto" w:fill="F4F8FB" w:themeFill="accent3" w:themeFillTint="3F"/>
    </w:tcPr>
    <w:tblStylePr w:type="firstRow">
      <w:rPr>
        <w:b/>
        <w:bCs/>
      </w:rPr>
    </w:tblStylePr>
    <w:tblStylePr w:type="lastRow">
      <w:rPr>
        <w:b/>
        <w:bCs/>
      </w:rPr>
      <w:tblPr/>
      <w:tcPr>
        <w:tcBorders>
          <w:top w:val="single" w:sz="18" w:space="0" w:color="E0ECF5" w:themeColor="accent3" w:themeTint="BF"/>
        </w:tcBorders>
      </w:tcPr>
    </w:tblStylePr>
    <w:tblStylePr w:type="firstCol">
      <w:rPr>
        <w:b/>
        <w:bCs/>
      </w:rPr>
    </w:tblStylePr>
    <w:tblStylePr w:type="lastCol">
      <w:rPr>
        <w:b/>
        <w:bCs/>
      </w:rPr>
    </w:tblStylePr>
    <w:tblStylePr w:type="band1Vert">
      <w:tblPr/>
      <w:tcPr>
        <w:shd w:val="clear" w:color="auto" w:fill="EAF2F8" w:themeFill="accent3" w:themeFillTint="7F"/>
      </w:tcPr>
    </w:tblStylePr>
    <w:tblStylePr w:type="band1Horz">
      <w:tblPr/>
      <w:tcPr>
        <w:shd w:val="clear" w:color="auto" w:fill="EAF2F8"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single" w:sz="8" w:space="0" w:color="F2F8FB" w:themeColor="accent4" w:themeTint="BF"/>
        <w:insideV w:val="single" w:sz="8" w:space="0" w:color="F2F8FB" w:themeColor="accent4" w:themeTint="BF"/>
      </w:tblBorders>
    </w:tblPr>
    <w:tcPr>
      <w:shd w:val="clear" w:color="auto" w:fill="FAFCFD" w:themeFill="accent4" w:themeFillTint="3F"/>
    </w:tcPr>
    <w:tblStylePr w:type="firstRow">
      <w:rPr>
        <w:b/>
        <w:bCs/>
      </w:rPr>
    </w:tblStylePr>
    <w:tblStylePr w:type="lastRow">
      <w:rPr>
        <w:b/>
        <w:bCs/>
      </w:rPr>
      <w:tblPr/>
      <w:tcPr>
        <w:tcBorders>
          <w:top w:val="single" w:sz="18" w:space="0" w:color="F2F8FB" w:themeColor="accent4" w:themeTint="BF"/>
        </w:tcBorders>
      </w:tcPr>
    </w:tblStylePr>
    <w:tblStylePr w:type="firstCol">
      <w:rPr>
        <w:b/>
        <w:bCs/>
      </w:rPr>
    </w:tblStylePr>
    <w:tblStylePr w:type="lastCol">
      <w:rPr>
        <w:b/>
        <w:bCs/>
      </w:rPr>
    </w:tblStylePr>
    <w:tblStylePr w:type="band1Vert">
      <w:tblPr/>
      <w:tcPr>
        <w:shd w:val="clear" w:color="auto" w:fill="F6FAFC" w:themeFill="accent4" w:themeFillTint="7F"/>
      </w:tcPr>
    </w:tblStylePr>
    <w:tblStylePr w:type="band1Horz">
      <w:tblPr/>
      <w:tcPr>
        <w:shd w:val="clear" w:color="auto" w:fill="F6FAFC"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single" w:sz="8" w:space="0" w:color="D8EFEC" w:themeColor="accent5" w:themeTint="BF"/>
        <w:insideV w:val="single" w:sz="8" w:space="0" w:color="D8EFEC" w:themeColor="accent5" w:themeTint="BF"/>
      </w:tblBorders>
    </w:tblPr>
    <w:tcPr>
      <w:shd w:val="clear" w:color="auto" w:fill="F2F9F8" w:themeFill="accent5" w:themeFillTint="3F"/>
    </w:tcPr>
    <w:tblStylePr w:type="firstRow">
      <w:rPr>
        <w:b/>
        <w:bCs/>
      </w:rPr>
    </w:tblStylePr>
    <w:tblStylePr w:type="lastRow">
      <w:rPr>
        <w:b/>
        <w:bCs/>
      </w:rPr>
      <w:tblPr/>
      <w:tcPr>
        <w:tcBorders>
          <w:top w:val="single" w:sz="18" w:space="0" w:color="D8EFEC" w:themeColor="accent5" w:themeTint="BF"/>
        </w:tcBorders>
      </w:tcPr>
    </w:tblStylePr>
    <w:tblStylePr w:type="firstCol">
      <w:rPr>
        <w:b/>
        <w:bCs/>
      </w:rPr>
    </w:tblStylePr>
    <w:tblStylePr w:type="lastCol">
      <w:rPr>
        <w:b/>
        <w:bCs/>
      </w:rPr>
    </w:tblStylePr>
    <w:tblStylePr w:type="band1Vert">
      <w:tblPr/>
      <w:tcPr>
        <w:shd w:val="clear" w:color="auto" w:fill="E5F4F2" w:themeFill="accent5" w:themeFillTint="7F"/>
      </w:tcPr>
    </w:tblStylePr>
    <w:tblStylePr w:type="band1Horz">
      <w:tblPr/>
      <w:tcPr>
        <w:shd w:val="clear" w:color="auto" w:fill="E5F4F2"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single" w:sz="8" w:space="0" w:color="7C8897" w:themeColor="accent6" w:themeTint="BF"/>
        <w:insideV w:val="single" w:sz="8" w:space="0" w:color="7C8897" w:themeColor="accent6" w:themeTint="BF"/>
      </w:tblBorders>
    </w:tblPr>
    <w:tcPr>
      <w:shd w:val="clear" w:color="auto" w:fill="D3D8DC" w:themeFill="accent6" w:themeFillTint="3F"/>
    </w:tcPr>
    <w:tblStylePr w:type="firstRow">
      <w:rPr>
        <w:b/>
        <w:bCs/>
      </w:rPr>
    </w:tblStylePr>
    <w:tblStylePr w:type="lastRow">
      <w:rPr>
        <w:b/>
        <w:bCs/>
      </w:rPr>
      <w:tblPr/>
      <w:tcPr>
        <w:tcBorders>
          <w:top w:val="single" w:sz="18" w:space="0" w:color="7C8897" w:themeColor="accent6" w:themeTint="BF"/>
        </w:tcBorders>
      </w:tcPr>
    </w:tblStylePr>
    <w:tblStylePr w:type="firstCol">
      <w:rPr>
        <w:b/>
        <w:bCs/>
      </w:rPr>
    </w:tblStylePr>
    <w:tblStylePr w:type="lastCol">
      <w:rPr>
        <w:b/>
        <w:bCs/>
      </w:rPr>
    </w:tblStylePr>
    <w:tblStylePr w:type="band1Vert">
      <w:tblPr/>
      <w:tcPr>
        <w:shd w:val="clear" w:color="auto" w:fill="A7B0BA" w:themeFill="accent6" w:themeFillTint="7F"/>
      </w:tcPr>
    </w:tblStylePr>
    <w:tblStylePr w:type="band1Horz">
      <w:tblPr/>
      <w:tcPr>
        <w:shd w:val="clear" w:color="auto" w:fill="A7B0BA"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insideH w:val="single" w:sz="8" w:space="0" w:color="D8D8D8" w:themeColor="accent1"/>
        <w:insideV w:val="single" w:sz="8" w:space="0" w:color="D8D8D8" w:themeColor="accent1"/>
      </w:tblBorders>
    </w:tblPr>
    <w:tcPr>
      <w:shd w:val="clear" w:color="auto" w:fill="F5F5F5"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1" w:themeFillTint="33"/>
      </w:tcPr>
    </w:tblStylePr>
    <w:tblStylePr w:type="band1Vert">
      <w:tblPr/>
      <w:tcPr>
        <w:shd w:val="clear" w:color="auto" w:fill="EBEBEB" w:themeFill="accent1" w:themeFillTint="7F"/>
      </w:tcPr>
    </w:tblStylePr>
    <w:tblStylePr w:type="band1Horz">
      <w:tblPr/>
      <w:tcPr>
        <w:tcBorders>
          <w:insideH w:val="single" w:sz="6" w:space="0" w:color="D8D8D8" w:themeColor="accent1"/>
          <w:insideV w:val="single" w:sz="6" w:space="0" w:color="D8D8D8" w:themeColor="accent1"/>
        </w:tcBorders>
        <w:shd w:val="clear" w:color="auto" w:fill="EBEB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insideH w:val="single" w:sz="8" w:space="0" w:color="A2A5AD" w:themeColor="accent2"/>
        <w:insideV w:val="single" w:sz="8" w:space="0" w:color="A2A5AD" w:themeColor="accent2"/>
      </w:tblBorders>
    </w:tblPr>
    <w:tcPr>
      <w:shd w:val="clear" w:color="auto" w:fill="E7E8EA" w:themeFill="accent2" w:themeFillTint="3F"/>
    </w:tcPr>
    <w:tblStylePr w:type="firstRow">
      <w:rPr>
        <w:b/>
        <w:bCs/>
        <w:color w:val="000000" w:themeColor="text1"/>
      </w:rPr>
      <w:tblPr/>
      <w:tcPr>
        <w:shd w:val="clear" w:color="auto" w:fill="F5F6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E" w:themeFill="accent2" w:themeFillTint="33"/>
      </w:tcPr>
    </w:tblStylePr>
    <w:tblStylePr w:type="band1Vert">
      <w:tblPr/>
      <w:tcPr>
        <w:shd w:val="clear" w:color="auto" w:fill="D0D2D6" w:themeFill="accent2" w:themeFillTint="7F"/>
      </w:tcPr>
    </w:tblStylePr>
    <w:tblStylePr w:type="band1Horz">
      <w:tblPr/>
      <w:tcPr>
        <w:tcBorders>
          <w:insideH w:val="single" w:sz="6" w:space="0" w:color="A2A5AD" w:themeColor="accent2"/>
          <w:insideV w:val="single" w:sz="6" w:space="0" w:color="A2A5AD" w:themeColor="accent2"/>
        </w:tcBorders>
        <w:shd w:val="clear" w:color="auto" w:fill="D0D2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insideH w:val="single" w:sz="8" w:space="0" w:color="D6E7F2" w:themeColor="accent3"/>
        <w:insideV w:val="single" w:sz="8" w:space="0" w:color="D6E7F2" w:themeColor="accent3"/>
      </w:tblBorders>
    </w:tblPr>
    <w:tcPr>
      <w:shd w:val="clear" w:color="auto" w:fill="F4F8FB" w:themeFill="accent3" w:themeFillTint="3F"/>
    </w:tcPr>
    <w:tblStylePr w:type="firstRow">
      <w:rPr>
        <w:b/>
        <w:bCs/>
        <w:color w:val="000000" w:themeColor="text1"/>
      </w:rPr>
      <w:tblPr/>
      <w:tcPr>
        <w:shd w:val="clear" w:color="auto" w:fill="FA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AFC" w:themeFill="accent3" w:themeFillTint="33"/>
      </w:tcPr>
    </w:tblStylePr>
    <w:tblStylePr w:type="band1Vert">
      <w:tblPr/>
      <w:tcPr>
        <w:shd w:val="clear" w:color="auto" w:fill="EAF2F8" w:themeFill="accent3" w:themeFillTint="7F"/>
      </w:tcPr>
    </w:tblStylePr>
    <w:tblStylePr w:type="band1Horz">
      <w:tblPr/>
      <w:tcPr>
        <w:tcBorders>
          <w:insideH w:val="single" w:sz="6" w:space="0" w:color="D6E7F2" w:themeColor="accent3"/>
          <w:insideV w:val="single" w:sz="6" w:space="0" w:color="D6E7F2" w:themeColor="accent3"/>
        </w:tcBorders>
        <w:shd w:val="clear" w:color="auto" w:fill="EAF2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insideH w:val="single" w:sz="8" w:space="0" w:color="EFF6FA" w:themeColor="accent4"/>
        <w:insideV w:val="single" w:sz="8" w:space="0" w:color="EFF6FA" w:themeColor="accent4"/>
      </w:tblBorders>
    </w:tblPr>
    <w:tcPr>
      <w:shd w:val="clear" w:color="auto" w:fill="FAFCFD" w:themeFill="accent4" w:themeFillTint="3F"/>
    </w:tcPr>
    <w:tblStylePr w:type="firstRow">
      <w:rPr>
        <w:b/>
        <w:bCs/>
        <w:color w:val="000000" w:themeColor="text1"/>
      </w:rPr>
      <w:tblPr/>
      <w:tcPr>
        <w:shd w:val="clear" w:color="auto" w:fill="FDFE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DFE" w:themeFill="accent4" w:themeFillTint="33"/>
      </w:tcPr>
    </w:tblStylePr>
    <w:tblStylePr w:type="band1Vert">
      <w:tblPr/>
      <w:tcPr>
        <w:shd w:val="clear" w:color="auto" w:fill="F6FAFC" w:themeFill="accent4" w:themeFillTint="7F"/>
      </w:tcPr>
    </w:tblStylePr>
    <w:tblStylePr w:type="band1Horz">
      <w:tblPr/>
      <w:tcPr>
        <w:tcBorders>
          <w:insideH w:val="single" w:sz="6" w:space="0" w:color="EFF6FA" w:themeColor="accent4"/>
          <w:insideV w:val="single" w:sz="6" w:space="0" w:color="EFF6FA" w:themeColor="accent4"/>
        </w:tcBorders>
        <w:shd w:val="clear" w:color="auto" w:fill="F6FAF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insideH w:val="single" w:sz="8" w:space="0" w:color="CCEAE6" w:themeColor="accent5"/>
        <w:insideV w:val="single" w:sz="8" w:space="0" w:color="CCEAE6" w:themeColor="accent5"/>
      </w:tblBorders>
    </w:tblPr>
    <w:tcPr>
      <w:shd w:val="clear" w:color="auto" w:fill="F2F9F8" w:themeFill="accent5" w:themeFillTint="3F"/>
    </w:tcPr>
    <w:tblStylePr w:type="firstRow">
      <w:rPr>
        <w:b/>
        <w:bCs/>
        <w:color w:val="000000" w:themeColor="text1"/>
      </w:rPr>
      <w:tblPr/>
      <w:tcPr>
        <w:shd w:val="clear" w:color="auto" w:fill="F9FD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AF9" w:themeFill="accent5" w:themeFillTint="33"/>
      </w:tcPr>
    </w:tblStylePr>
    <w:tblStylePr w:type="band1Vert">
      <w:tblPr/>
      <w:tcPr>
        <w:shd w:val="clear" w:color="auto" w:fill="E5F4F2" w:themeFill="accent5" w:themeFillTint="7F"/>
      </w:tcPr>
    </w:tblStylePr>
    <w:tblStylePr w:type="band1Horz">
      <w:tblPr/>
      <w:tcPr>
        <w:tcBorders>
          <w:insideH w:val="single" w:sz="6" w:space="0" w:color="CCEAE6" w:themeColor="accent5"/>
          <w:insideV w:val="single" w:sz="6" w:space="0" w:color="CCEAE6" w:themeColor="accent5"/>
        </w:tcBorders>
        <w:shd w:val="clear" w:color="auto" w:fill="E5F4F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insideH w:val="single" w:sz="8" w:space="0" w:color="57626E" w:themeColor="accent6"/>
        <w:insideV w:val="single" w:sz="8" w:space="0" w:color="57626E" w:themeColor="accent6"/>
      </w:tblBorders>
    </w:tblPr>
    <w:tcPr>
      <w:shd w:val="clear" w:color="auto" w:fill="D3D8DC" w:themeFill="accent6" w:themeFillTint="3F"/>
    </w:tcPr>
    <w:tblStylePr w:type="firstRow">
      <w:rPr>
        <w:b/>
        <w:bCs/>
        <w:color w:val="000000" w:themeColor="text1"/>
      </w:rPr>
      <w:tblPr/>
      <w:tcPr>
        <w:shd w:val="clear" w:color="auto" w:fill="EDEF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3" w:themeFill="accent6" w:themeFillTint="33"/>
      </w:tcPr>
    </w:tblStylePr>
    <w:tblStylePr w:type="band1Vert">
      <w:tblPr/>
      <w:tcPr>
        <w:shd w:val="clear" w:color="auto" w:fill="A7B0BA" w:themeFill="accent6" w:themeFillTint="7F"/>
      </w:tcPr>
    </w:tblStylePr>
    <w:tblStylePr w:type="band1Horz">
      <w:tblPr/>
      <w:tcPr>
        <w:tcBorders>
          <w:insideH w:val="single" w:sz="6" w:space="0" w:color="57626E" w:themeColor="accent6"/>
          <w:insideV w:val="single" w:sz="6" w:space="0" w:color="57626E" w:themeColor="accent6"/>
        </w:tcBorders>
        <w:shd w:val="clear" w:color="auto" w:fill="A7B0B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8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8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8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8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B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BEB"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8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A5A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A5A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A5A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A5A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2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2D6"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E7F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E7F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E7F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E7F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F2F8"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F6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F6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F6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F6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A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AFC"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9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EA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EA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EA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EA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4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4F2"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8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626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626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626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626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0B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0BA"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48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D8D8D8" w:themeColor="accent1"/>
        <w:bottom w:val="single" w:sz="8" w:space="0" w:color="D8D8D8" w:themeColor="accent1"/>
      </w:tblBorders>
    </w:tblPr>
    <w:tblStylePr w:type="firstRow">
      <w:rPr>
        <w:rFonts w:asciiTheme="majorHAnsi" w:eastAsiaTheme="majorEastAsia" w:hAnsiTheme="majorHAnsi" w:cstheme="majorBidi"/>
      </w:rPr>
      <w:tblPr/>
      <w:tcPr>
        <w:tcBorders>
          <w:top w:val="nil"/>
          <w:bottom w:val="single" w:sz="8" w:space="0" w:color="D8D8D8" w:themeColor="accent1"/>
        </w:tcBorders>
      </w:tcPr>
    </w:tblStylePr>
    <w:tblStylePr w:type="lastRow">
      <w:rPr>
        <w:b/>
        <w:bCs/>
        <w:color w:val="009483" w:themeColor="text2"/>
      </w:rPr>
      <w:tblPr/>
      <w:tcPr>
        <w:tcBorders>
          <w:top w:val="single" w:sz="8" w:space="0" w:color="D8D8D8" w:themeColor="accent1"/>
          <w:bottom w:val="single" w:sz="8" w:space="0" w:color="D8D8D8" w:themeColor="accent1"/>
        </w:tcBorders>
      </w:tcPr>
    </w:tblStylePr>
    <w:tblStylePr w:type="firstCol">
      <w:rPr>
        <w:b/>
        <w:bCs/>
      </w:rPr>
    </w:tblStylePr>
    <w:tblStylePr w:type="lastCol">
      <w:rPr>
        <w:b/>
        <w:bCs/>
      </w:rPr>
      <w:tblPr/>
      <w:tcPr>
        <w:tcBorders>
          <w:top w:val="single" w:sz="8" w:space="0" w:color="D8D8D8" w:themeColor="accent1"/>
          <w:bottom w:val="single" w:sz="8" w:space="0" w:color="D8D8D8" w:themeColor="accent1"/>
        </w:tcBorders>
      </w:tcPr>
    </w:tblStylePr>
    <w:tblStylePr w:type="band1Vert">
      <w:tblPr/>
      <w:tcPr>
        <w:shd w:val="clear" w:color="auto" w:fill="F5F5F5" w:themeFill="accent1" w:themeFillTint="3F"/>
      </w:tcPr>
    </w:tblStylePr>
    <w:tblStylePr w:type="band1Horz">
      <w:tblPr/>
      <w:tcPr>
        <w:shd w:val="clear" w:color="auto" w:fill="F5F5F5"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A2A5AD" w:themeColor="accent2"/>
        <w:bottom w:val="single" w:sz="8" w:space="0" w:color="A2A5AD" w:themeColor="accent2"/>
      </w:tblBorders>
    </w:tblPr>
    <w:tblStylePr w:type="firstRow">
      <w:rPr>
        <w:rFonts w:asciiTheme="majorHAnsi" w:eastAsiaTheme="majorEastAsia" w:hAnsiTheme="majorHAnsi" w:cstheme="majorBidi"/>
      </w:rPr>
      <w:tblPr/>
      <w:tcPr>
        <w:tcBorders>
          <w:top w:val="nil"/>
          <w:bottom w:val="single" w:sz="8" w:space="0" w:color="A2A5AD" w:themeColor="accent2"/>
        </w:tcBorders>
      </w:tcPr>
    </w:tblStylePr>
    <w:tblStylePr w:type="lastRow">
      <w:rPr>
        <w:b/>
        <w:bCs/>
        <w:color w:val="009483" w:themeColor="text2"/>
      </w:rPr>
      <w:tblPr/>
      <w:tcPr>
        <w:tcBorders>
          <w:top w:val="single" w:sz="8" w:space="0" w:color="A2A5AD" w:themeColor="accent2"/>
          <w:bottom w:val="single" w:sz="8" w:space="0" w:color="A2A5AD" w:themeColor="accent2"/>
        </w:tcBorders>
      </w:tcPr>
    </w:tblStylePr>
    <w:tblStylePr w:type="firstCol">
      <w:rPr>
        <w:b/>
        <w:bCs/>
      </w:rPr>
    </w:tblStylePr>
    <w:tblStylePr w:type="lastCol">
      <w:rPr>
        <w:b/>
        <w:bCs/>
      </w:rPr>
      <w:tblPr/>
      <w:tcPr>
        <w:tcBorders>
          <w:top w:val="single" w:sz="8" w:space="0" w:color="A2A5AD" w:themeColor="accent2"/>
          <w:bottom w:val="single" w:sz="8" w:space="0" w:color="A2A5AD" w:themeColor="accent2"/>
        </w:tcBorders>
      </w:tcPr>
    </w:tblStylePr>
    <w:tblStylePr w:type="band1Vert">
      <w:tblPr/>
      <w:tcPr>
        <w:shd w:val="clear" w:color="auto" w:fill="E7E8EA" w:themeFill="accent2" w:themeFillTint="3F"/>
      </w:tcPr>
    </w:tblStylePr>
    <w:tblStylePr w:type="band1Horz">
      <w:tblPr/>
      <w:tcPr>
        <w:shd w:val="clear" w:color="auto" w:fill="E7E8EA"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D6E7F2" w:themeColor="accent3"/>
        <w:bottom w:val="single" w:sz="8" w:space="0" w:color="D6E7F2" w:themeColor="accent3"/>
      </w:tblBorders>
    </w:tblPr>
    <w:tblStylePr w:type="firstRow">
      <w:rPr>
        <w:rFonts w:asciiTheme="majorHAnsi" w:eastAsiaTheme="majorEastAsia" w:hAnsiTheme="majorHAnsi" w:cstheme="majorBidi"/>
      </w:rPr>
      <w:tblPr/>
      <w:tcPr>
        <w:tcBorders>
          <w:top w:val="nil"/>
          <w:bottom w:val="single" w:sz="8" w:space="0" w:color="D6E7F2" w:themeColor="accent3"/>
        </w:tcBorders>
      </w:tcPr>
    </w:tblStylePr>
    <w:tblStylePr w:type="lastRow">
      <w:rPr>
        <w:b/>
        <w:bCs/>
        <w:color w:val="009483" w:themeColor="text2"/>
      </w:rPr>
      <w:tblPr/>
      <w:tcPr>
        <w:tcBorders>
          <w:top w:val="single" w:sz="8" w:space="0" w:color="D6E7F2" w:themeColor="accent3"/>
          <w:bottom w:val="single" w:sz="8" w:space="0" w:color="D6E7F2" w:themeColor="accent3"/>
        </w:tcBorders>
      </w:tcPr>
    </w:tblStylePr>
    <w:tblStylePr w:type="firstCol">
      <w:rPr>
        <w:b/>
        <w:bCs/>
      </w:rPr>
    </w:tblStylePr>
    <w:tblStylePr w:type="lastCol">
      <w:rPr>
        <w:b/>
        <w:bCs/>
      </w:rPr>
      <w:tblPr/>
      <w:tcPr>
        <w:tcBorders>
          <w:top w:val="single" w:sz="8" w:space="0" w:color="D6E7F2" w:themeColor="accent3"/>
          <w:bottom w:val="single" w:sz="8" w:space="0" w:color="D6E7F2" w:themeColor="accent3"/>
        </w:tcBorders>
      </w:tcPr>
    </w:tblStylePr>
    <w:tblStylePr w:type="band1Vert">
      <w:tblPr/>
      <w:tcPr>
        <w:shd w:val="clear" w:color="auto" w:fill="F4F8FB" w:themeFill="accent3" w:themeFillTint="3F"/>
      </w:tcPr>
    </w:tblStylePr>
    <w:tblStylePr w:type="band1Horz">
      <w:tblPr/>
      <w:tcPr>
        <w:shd w:val="clear" w:color="auto" w:fill="F4F8FB"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EFF6FA" w:themeColor="accent4"/>
        <w:bottom w:val="single" w:sz="8" w:space="0" w:color="EFF6FA" w:themeColor="accent4"/>
      </w:tblBorders>
    </w:tblPr>
    <w:tblStylePr w:type="firstRow">
      <w:rPr>
        <w:rFonts w:asciiTheme="majorHAnsi" w:eastAsiaTheme="majorEastAsia" w:hAnsiTheme="majorHAnsi" w:cstheme="majorBidi"/>
      </w:rPr>
      <w:tblPr/>
      <w:tcPr>
        <w:tcBorders>
          <w:top w:val="nil"/>
          <w:bottom w:val="single" w:sz="8" w:space="0" w:color="EFF6FA" w:themeColor="accent4"/>
        </w:tcBorders>
      </w:tcPr>
    </w:tblStylePr>
    <w:tblStylePr w:type="lastRow">
      <w:rPr>
        <w:b/>
        <w:bCs/>
        <w:color w:val="009483" w:themeColor="text2"/>
      </w:rPr>
      <w:tblPr/>
      <w:tcPr>
        <w:tcBorders>
          <w:top w:val="single" w:sz="8" w:space="0" w:color="EFF6FA" w:themeColor="accent4"/>
          <w:bottom w:val="single" w:sz="8" w:space="0" w:color="EFF6FA" w:themeColor="accent4"/>
        </w:tcBorders>
      </w:tcPr>
    </w:tblStylePr>
    <w:tblStylePr w:type="firstCol">
      <w:rPr>
        <w:b/>
        <w:bCs/>
      </w:rPr>
    </w:tblStylePr>
    <w:tblStylePr w:type="lastCol">
      <w:rPr>
        <w:b/>
        <w:bCs/>
      </w:rPr>
      <w:tblPr/>
      <w:tcPr>
        <w:tcBorders>
          <w:top w:val="single" w:sz="8" w:space="0" w:color="EFF6FA" w:themeColor="accent4"/>
          <w:bottom w:val="single" w:sz="8" w:space="0" w:color="EFF6FA" w:themeColor="accent4"/>
        </w:tcBorders>
      </w:tcPr>
    </w:tblStylePr>
    <w:tblStylePr w:type="band1Vert">
      <w:tblPr/>
      <w:tcPr>
        <w:shd w:val="clear" w:color="auto" w:fill="FAFCFD" w:themeFill="accent4" w:themeFillTint="3F"/>
      </w:tcPr>
    </w:tblStylePr>
    <w:tblStylePr w:type="band1Horz">
      <w:tblPr/>
      <w:tcPr>
        <w:shd w:val="clear" w:color="auto" w:fill="FAFCFD"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CCEAE6" w:themeColor="accent5"/>
        <w:bottom w:val="single" w:sz="8" w:space="0" w:color="CCEAE6" w:themeColor="accent5"/>
      </w:tblBorders>
    </w:tblPr>
    <w:tblStylePr w:type="firstRow">
      <w:rPr>
        <w:rFonts w:asciiTheme="majorHAnsi" w:eastAsiaTheme="majorEastAsia" w:hAnsiTheme="majorHAnsi" w:cstheme="majorBidi"/>
      </w:rPr>
      <w:tblPr/>
      <w:tcPr>
        <w:tcBorders>
          <w:top w:val="nil"/>
          <w:bottom w:val="single" w:sz="8" w:space="0" w:color="CCEAE6" w:themeColor="accent5"/>
        </w:tcBorders>
      </w:tcPr>
    </w:tblStylePr>
    <w:tblStylePr w:type="lastRow">
      <w:rPr>
        <w:b/>
        <w:bCs/>
        <w:color w:val="009483" w:themeColor="text2"/>
      </w:rPr>
      <w:tblPr/>
      <w:tcPr>
        <w:tcBorders>
          <w:top w:val="single" w:sz="8" w:space="0" w:color="CCEAE6" w:themeColor="accent5"/>
          <w:bottom w:val="single" w:sz="8" w:space="0" w:color="CCEAE6" w:themeColor="accent5"/>
        </w:tcBorders>
      </w:tcPr>
    </w:tblStylePr>
    <w:tblStylePr w:type="firstCol">
      <w:rPr>
        <w:b/>
        <w:bCs/>
      </w:rPr>
    </w:tblStylePr>
    <w:tblStylePr w:type="lastCol">
      <w:rPr>
        <w:b/>
        <w:bCs/>
      </w:rPr>
      <w:tblPr/>
      <w:tcPr>
        <w:tcBorders>
          <w:top w:val="single" w:sz="8" w:space="0" w:color="CCEAE6" w:themeColor="accent5"/>
          <w:bottom w:val="single" w:sz="8" w:space="0" w:color="CCEAE6" w:themeColor="accent5"/>
        </w:tcBorders>
      </w:tcPr>
    </w:tblStylePr>
    <w:tblStylePr w:type="band1Vert">
      <w:tblPr/>
      <w:tcPr>
        <w:shd w:val="clear" w:color="auto" w:fill="F2F9F8" w:themeFill="accent5" w:themeFillTint="3F"/>
      </w:tcPr>
    </w:tblStylePr>
    <w:tblStylePr w:type="band1Horz">
      <w:tblPr/>
      <w:tcPr>
        <w:shd w:val="clear" w:color="auto" w:fill="F2F9F8"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57626E" w:themeColor="accent6"/>
        <w:bottom w:val="single" w:sz="8" w:space="0" w:color="57626E" w:themeColor="accent6"/>
      </w:tblBorders>
    </w:tblPr>
    <w:tblStylePr w:type="firstRow">
      <w:rPr>
        <w:rFonts w:asciiTheme="majorHAnsi" w:eastAsiaTheme="majorEastAsia" w:hAnsiTheme="majorHAnsi" w:cstheme="majorBidi"/>
      </w:rPr>
      <w:tblPr/>
      <w:tcPr>
        <w:tcBorders>
          <w:top w:val="nil"/>
          <w:bottom w:val="single" w:sz="8" w:space="0" w:color="57626E" w:themeColor="accent6"/>
        </w:tcBorders>
      </w:tcPr>
    </w:tblStylePr>
    <w:tblStylePr w:type="lastRow">
      <w:rPr>
        <w:b/>
        <w:bCs/>
        <w:color w:val="009483" w:themeColor="text2"/>
      </w:rPr>
      <w:tblPr/>
      <w:tcPr>
        <w:tcBorders>
          <w:top w:val="single" w:sz="8" w:space="0" w:color="57626E" w:themeColor="accent6"/>
          <w:bottom w:val="single" w:sz="8" w:space="0" w:color="57626E" w:themeColor="accent6"/>
        </w:tcBorders>
      </w:tcPr>
    </w:tblStylePr>
    <w:tblStylePr w:type="firstCol">
      <w:rPr>
        <w:b/>
        <w:bCs/>
      </w:rPr>
    </w:tblStylePr>
    <w:tblStylePr w:type="lastCol">
      <w:rPr>
        <w:b/>
        <w:bCs/>
      </w:rPr>
      <w:tblPr/>
      <w:tcPr>
        <w:tcBorders>
          <w:top w:val="single" w:sz="8" w:space="0" w:color="57626E" w:themeColor="accent6"/>
          <w:bottom w:val="single" w:sz="8" w:space="0" w:color="57626E" w:themeColor="accent6"/>
        </w:tcBorders>
      </w:tcPr>
    </w:tblStylePr>
    <w:tblStylePr w:type="band1Vert">
      <w:tblPr/>
      <w:tcPr>
        <w:shd w:val="clear" w:color="auto" w:fill="D3D8DC" w:themeFill="accent6" w:themeFillTint="3F"/>
      </w:tcPr>
    </w:tblStylePr>
    <w:tblStylePr w:type="band1Horz">
      <w:tblPr/>
      <w:tcPr>
        <w:shd w:val="clear" w:color="auto" w:fill="D3D8DC"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tblBorders>
    </w:tblPr>
    <w:tblStylePr w:type="firstRow">
      <w:rPr>
        <w:sz w:val="24"/>
        <w:szCs w:val="24"/>
      </w:rPr>
      <w:tblPr/>
      <w:tcPr>
        <w:tcBorders>
          <w:top w:val="nil"/>
          <w:left w:val="nil"/>
          <w:bottom w:val="single" w:sz="24" w:space="0" w:color="D8D8D8" w:themeColor="accent1"/>
          <w:right w:val="nil"/>
          <w:insideH w:val="nil"/>
          <w:insideV w:val="nil"/>
        </w:tcBorders>
        <w:shd w:val="clear" w:color="auto" w:fill="FFFFFF" w:themeFill="background1"/>
      </w:tcPr>
    </w:tblStylePr>
    <w:tblStylePr w:type="lastRow">
      <w:tblPr/>
      <w:tcPr>
        <w:tcBorders>
          <w:top w:val="single" w:sz="8" w:space="0" w:color="D8D8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8D8" w:themeColor="accent1"/>
          <w:insideH w:val="nil"/>
          <w:insideV w:val="nil"/>
        </w:tcBorders>
        <w:shd w:val="clear" w:color="auto" w:fill="FFFFFF" w:themeFill="background1"/>
      </w:tcPr>
    </w:tblStylePr>
    <w:tblStylePr w:type="lastCol">
      <w:tblPr/>
      <w:tcPr>
        <w:tcBorders>
          <w:top w:val="nil"/>
          <w:left w:val="single" w:sz="8" w:space="0" w:color="D8D8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1" w:themeFillTint="3F"/>
      </w:tcPr>
    </w:tblStylePr>
    <w:tblStylePr w:type="band1Horz">
      <w:tblPr/>
      <w:tcPr>
        <w:tcBorders>
          <w:top w:val="nil"/>
          <w:bottom w:val="nil"/>
          <w:insideH w:val="nil"/>
          <w:insideV w:val="nil"/>
        </w:tcBorders>
        <w:shd w:val="clear" w:color="auto" w:fill="F5F5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tblBorders>
    </w:tblPr>
    <w:tblStylePr w:type="firstRow">
      <w:rPr>
        <w:sz w:val="24"/>
        <w:szCs w:val="24"/>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tblPr/>
      <w:tcPr>
        <w:tcBorders>
          <w:top w:val="single" w:sz="8" w:space="0" w:color="A2A5A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A5AD" w:themeColor="accent2"/>
          <w:insideH w:val="nil"/>
          <w:insideV w:val="nil"/>
        </w:tcBorders>
        <w:shd w:val="clear" w:color="auto" w:fill="FFFFFF" w:themeFill="background1"/>
      </w:tcPr>
    </w:tblStylePr>
    <w:tblStylePr w:type="lastCol">
      <w:tblPr/>
      <w:tcPr>
        <w:tcBorders>
          <w:top w:val="nil"/>
          <w:left w:val="single" w:sz="8" w:space="0" w:color="A2A5A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8EA" w:themeFill="accent2" w:themeFillTint="3F"/>
      </w:tcPr>
    </w:tblStylePr>
    <w:tblStylePr w:type="band1Horz">
      <w:tblPr/>
      <w:tcPr>
        <w:tcBorders>
          <w:top w:val="nil"/>
          <w:bottom w:val="nil"/>
          <w:insideH w:val="nil"/>
          <w:insideV w:val="nil"/>
        </w:tcBorders>
        <w:shd w:val="clear" w:color="auto" w:fill="E7E8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tblBorders>
    </w:tblPr>
    <w:tblStylePr w:type="firstRow">
      <w:rPr>
        <w:sz w:val="24"/>
        <w:szCs w:val="24"/>
      </w:rPr>
      <w:tblPr/>
      <w:tcPr>
        <w:tcBorders>
          <w:top w:val="nil"/>
          <w:left w:val="nil"/>
          <w:bottom w:val="single" w:sz="24" w:space="0" w:color="D6E7F2" w:themeColor="accent3"/>
          <w:right w:val="nil"/>
          <w:insideH w:val="nil"/>
          <w:insideV w:val="nil"/>
        </w:tcBorders>
        <w:shd w:val="clear" w:color="auto" w:fill="FFFFFF" w:themeFill="background1"/>
      </w:tcPr>
    </w:tblStylePr>
    <w:tblStylePr w:type="lastRow">
      <w:tblPr/>
      <w:tcPr>
        <w:tcBorders>
          <w:top w:val="single" w:sz="8" w:space="0" w:color="D6E7F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E7F2" w:themeColor="accent3"/>
          <w:insideH w:val="nil"/>
          <w:insideV w:val="nil"/>
        </w:tcBorders>
        <w:shd w:val="clear" w:color="auto" w:fill="FFFFFF" w:themeFill="background1"/>
      </w:tcPr>
    </w:tblStylePr>
    <w:tblStylePr w:type="lastCol">
      <w:tblPr/>
      <w:tcPr>
        <w:tcBorders>
          <w:top w:val="nil"/>
          <w:left w:val="single" w:sz="8" w:space="0" w:color="D6E7F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8FB" w:themeFill="accent3" w:themeFillTint="3F"/>
      </w:tcPr>
    </w:tblStylePr>
    <w:tblStylePr w:type="band1Horz">
      <w:tblPr/>
      <w:tcPr>
        <w:tcBorders>
          <w:top w:val="nil"/>
          <w:bottom w:val="nil"/>
          <w:insideH w:val="nil"/>
          <w:insideV w:val="nil"/>
        </w:tcBorders>
        <w:shd w:val="clear" w:color="auto" w:fill="F4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tblBorders>
    </w:tblPr>
    <w:tblStylePr w:type="firstRow">
      <w:rPr>
        <w:sz w:val="24"/>
        <w:szCs w:val="24"/>
      </w:rPr>
      <w:tblPr/>
      <w:tcPr>
        <w:tcBorders>
          <w:top w:val="nil"/>
          <w:left w:val="nil"/>
          <w:bottom w:val="single" w:sz="24" w:space="0" w:color="EFF6FA" w:themeColor="accent4"/>
          <w:right w:val="nil"/>
          <w:insideH w:val="nil"/>
          <w:insideV w:val="nil"/>
        </w:tcBorders>
        <w:shd w:val="clear" w:color="auto" w:fill="FFFFFF" w:themeFill="background1"/>
      </w:tcPr>
    </w:tblStylePr>
    <w:tblStylePr w:type="lastRow">
      <w:tblPr/>
      <w:tcPr>
        <w:tcBorders>
          <w:top w:val="single" w:sz="8" w:space="0" w:color="EFF6F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F6FA" w:themeColor="accent4"/>
          <w:insideH w:val="nil"/>
          <w:insideV w:val="nil"/>
        </w:tcBorders>
        <w:shd w:val="clear" w:color="auto" w:fill="FFFFFF" w:themeFill="background1"/>
      </w:tcPr>
    </w:tblStylePr>
    <w:tblStylePr w:type="lastCol">
      <w:tblPr/>
      <w:tcPr>
        <w:tcBorders>
          <w:top w:val="nil"/>
          <w:left w:val="single" w:sz="8" w:space="0" w:color="EFF6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4" w:themeFillTint="3F"/>
      </w:tcPr>
    </w:tblStylePr>
    <w:tblStylePr w:type="band1Horz">
      <w:tblPr/>
      <w:tcPr>
        <w:tcBorders>
          <w:top w:val="nil"/>
          <w:bottom w:val="nil"/>
          <w:insideH w:val="nil"/>
          <w:insideV w:val="nil"/>
        </w:tcBorders>
        <w:shd w:val="clear" w:color="auto" w:fill="FAFC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tblBorders>
    </w:tblPr>
    <w:tblStylePr w:type="firstRow">
      <w:rPr>
        <w:sz w:val="24"/>
        <w:szCs w:val="24"/>
      </w:rPr>
      <w:tblPr/>
      <w:tcPr>
        <w:tcBorders>
          <w:top w:val="nil"/>
          <w:left w:val="nil"/>
          <w:bottom w:val="single" w:sz="24" w:space="0" w:color="CCEAE6" w:themeColor="accent5"/>
          <w:right w:val="nil"/>
          <w:insideH w:val="nil"/>
          <w:insideV w:val="nil"/>
        </w:tcBorders>
        <w:shd w:val="clear" w:color="auto" w:fill="FFFFFF" w:themeFill="background1"/>
      </w:tcPr>
    </w:tblStylePr>
    <w:tblStylePr w:type="lastRow">
      <w:tblPr/>
      <w:tcPr>
        <w:tcBorders>
          <w:top w:val="single" w:sz="8" w:space="0" w:color="CCEAE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EAE6" w:themeColor="accent5"/>
          <w:insideH w:val="nil"/>
          <w:insideV w:val="nil"/>
        </w:tcBorders>
        <w:shd w:val="clear" w:color="auto" w:fill="FFFFFF" w:themeFill="background1"/>
      </w:tcPr>
    </w:tblStylePr>
    <w:tblStylePr w:type="lastCol">
      <w:tblPr/>
      <w:tcPr>
        <w:tcBorders>
          <w:top w:val="nil"/>
          <w:left w:val="single" w:sz="8" w:space="0" w:color="CCEA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9F8" w:themeFill="accent5" w:themeFillTint="3F"/>
      </w:tcPr>
    </w:tblStylePr>
    <w:tblStylePr w:type="band1Horz">
      <w:tblPr/>
      <w:tcPr>
        <w:tcBorders>
          <w:top w:val="nil"/>
          <w:bottom w:val="nil"/>
          <w:insideH w:val="nil"/>
          <w:insideV w:val="nil"/>
        </w:tcBorders>
        <w:shd w:val="clear" w:color="auto" w:fill="F2F9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tblBorders>
    </w:tblPr>
    <w:tblStylePr w:type="firstRow">
      <w:rPr>
        <w:sz w:val="24"/>
        <w:szCs w:val="24"/>
      </w:rPr>
      <w:tblPr/>
      <w:tcPr>
        <w:tcBorders>
          <w:top w:val="nil"/>
          <w:left w:val="nil"/>
          <w:bottom w:val="single" w:sz="24" w:space="0" w:color="57626E" w:themeColor="accent6"/>
          <w:right w:val="nil"/>
          <w:insideH w:val="nil"/>
          <w:insideV w:val="nil"/>
        </w:tcBorders>
        <w:shd w:val="clear" w:color="auto" w:fill="FFFFFF" w:themeFill="background1"/>
      </w:tcPr>
    </w:tblStylePr>
    <w:tblStylePr w:type="lastRow">
      <w:tblPr/>
      <w:tcPr>
        <w:tcBorders>
          <w:top w:val="single" w:sz="8" w:space="0" w:color="57626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626E" w:themeColor="accent6"/>
          <w:insideH w:val="nil"/>
          <w:insideV w:val="nil"/>
        </w:tcBorders>
        <w:shd w:val="clear" w:color="auto" w:fill="FFFFFF" w:themeFill="background1"/>
      </w:tcPr>
    </w:tblStylePr>
    <w:tblStylePr w:type="lastCol">
      <w:tblPr/>
      <w:tcPr>
        <w:tcBorders>
          <w:top w:val="nil"/>
          <w:left w:val="single" w:sz="8" w:space="0" w:color="57626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8DC" w:themeFill="accent6" w:themeFillTint="3F"/>
      </w:tcPr>
    </w:tblStylePr>
    <w:tblStylePr w:type="band1Horz">
      <w:tblPr/>
      <w:tcPr>
        <w:tcBorders>
          <w:top w:val="nil"/>
          <w:bottom w:val="nil"/>
          <w:insideH w:val="nil"/>
          <w:insideV w:val="nil"/>
        </w:tcBorders>
        <w:shd w:val="clear" w:color="auto" w:fill="D3D8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single" w:sz="8" w:space="0" w:color="E1E1E1" w:themeColor="accent1" w:themeTint="BF"/>
      </w:tblBorders>
    </w:tblPr>
    <w:tblStylePr w:type="firstRow">
      <w:pPr>
        <w:spacing w:before="0" w:after="0" w:line="240" w:lineRule="auto"/>
      </w:pPr>
      <w:rPr>
        <w:b/>
        <w:bCs/>
        <w:color w:val="FFFFFF" w:themeColor="background1"/>
      </w:rPr>
      <w:tblPr/>
      <w:tcPr>
        <w:tcBorders>
          <w:top w:val="single" w:sz="8"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nil"/>
          <w:insideV w:val="nil"/>
        </w:tcBorders>
        <w:shd w:val="clear" w:color="auto" w:fill="D8D8D8" w:themeFill="accent1"/>
      </w:tcPr>
    </w:tblStylePr>
    <w:tblStylePr w:type="lastRow">
      <w:pPr>
        <w:spacing w:before="0" w:after="0" w:line="240" w:lineRule="auto"/>
      </w:pPr>
      <w:rPr>
        <w:b/>
        <w:bCs/>
      </w:rPr>
      <w:tblPr/>
      <w:tcPr>
        <w:tcBorders>
          <w:top w:val="double" w:sz="6"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1" w:themeFillTint="3F"/>
      </w:tcPr>
    </w:tblStylePr>
    <w:tblStylePr w:type="band1Horz">
      <w:tblPr/>
      <w:tcPr>
        <w:tcBorders>
          <w:insideH w:val="nil"/>
          <w:insideV w:val="nil"/>
        </w:tcBorders>
        <w:shd w:val="clear" w:color="auto" w:fill="F5F5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single" w:sz="8" w:space="0" w:color="B9BBC1" w:themeColor="accent2" w:themeTint="BF"/>
      </w:tblBorders>
    </w:tblPr>
    <w:tblStylePr w:type="firstRow">
      <w:pPr>
        <w:spacing w:before="0" w:after="0" w:line="240" w:lineRule="auto"/>
      </w:pPr>
      <w:rPr>
        <w:b/>
        <w:bCs/>
        <w:color w:val="FFFFFF" w:themeColor="background1"/>
      </w:rPr>
      <w:tblPr/>
      <w:tcPr>
        <w:tcBorders>
          <w:top w:val="single" w:sz="8"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nil"/>
          <w:insideV w:val="nil"/>
        </w:tcBorders>
        <w:shd w:val="clear" w:color="auto" w:fill="A2A5AD" w:themeFill="accent2"/>
      </w:tcPr>
    </w:tblStylePr>
    <w:tblStylePr w:type="lastRow">
      <w:pPr>
        <w:spacing w:before="0" w:after="0" w:line="240" w:lineRule="auto"/>
      </w:pPr>
      <w:rPr>
        <w:b/>
        <w:bCs/>
      </w:rPr>
      <w:tblPr/>
      <w:tcPr>
        <w:tcBorders>
          <w:top w:val="double" w:sz="6"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8EA" w:themeFill="accent2" w:themeFillTint="3F"/>
      </w:tcPr>
    </w:tblStylePr>
    <w:tblStylePr w:type="band1Horz">
      <w:tblPr/>
      <w:tcPr>
        <w:tcBorders>
          <w:insideH w:val="nil"/>
          <w:insideV w:val="nil"/>
        </w:tcBorders>
        <w:shd w:val="clear" w:color="auto" w:fill="E7E8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single" w:sz="8" w:space="0" w:color="E0ECF5" w:themeColor="accent3" w:themeTint="BF"/>
      </w:tblBorders>
    </w:tblPr>
    <w:tblStylePr w:type="firstRow">
      <w:pPr>
        <w:spacing w:before="0" w:after="0" w:line="240" w:lineRule="auto"/>
      </w:pPr>
      <w:rPr>
        <w:b/>
        <w:bCs/>
        <w:color w:val="FFFFFF" w:themeColor="background1"/>
      </w:rPr>
      <w:tblPr/>
      <w:tcPr>
        <w:tcBorders>
          <w:top w:val="single" w:sz="8"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nil"/>
          <w:insideV w:val="nil"/>
        </w:tcBorders>
        <w:shd w:val="clear" w:color="auto" w:fill="D6E7F2" w:themeFill="accent3"/>
      </w:tcPr>
    </w:tblStylePr>
    <w:tblStylePr w:type="lastRow">
      <w:pPr>
        <w:spacing w:before="0" w:after="0" w:line="240" w:lineRule="auto"/>
      </w:pPr>
      <w:rPr>
        <w:b/>
        <w:bCs/>
      </w:rPr>
      <w:tblPr/>
      <w:tcPr>
        <w:tcBorders>
          <w:top w:val="double" w:sz="6"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8FB" w:themeFill="accent3" w:themeFillTint="3F"/>
      </w:tcPr>
    </w:tblStylePr>
    <w:tblStylePr w:type="band1Horz">
      <w:tblPr/>
      <w:tcPr>
        <w:tcBorders>
          <w:insideH w:val="nil"/>
          <w:insideV w:val="nil"/>
        </w:tcBorders>
        <w:shd w:val="clear" w:color="auto" w:fill="F4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single" w:sz="8" w:space="0" w:color="F2F8FB" w:themeColor="accent4" w:themeTint="BF"/>
      </w:tblBorders>
    </w:tblPr>
    <w:tblStylePr w:type="firstRow">
      <w:pPr>
        <w:spacing w:before="0" w:after="0" w:line="240" w:lineRule="auto"/>
      </w:pPr>
      <w:rPr>
        <w:b/>
        <w:bCs/>
        <w:color w:val="FFFFFF" w:themeColor="background1"/>
      </w:rPr>
      <w:tblPr/>
      <w:tcPr>
        <w:tcBorders>
          <w:top w:val="single" w:sz="8"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nil"/>
          <w:insideV w:val="nil"/>
        </w:tcBorders>
        <w:shd w:val="clear" w:color="auto" w:fill="EFF6FA" w:themeFill="accent4"/>
      </w:tcPr>
    </w:tblStylePr>
    <w:tblStylePr w:type="lastRow">
      <w:pPr>
        <w:spacing w:before="0" w:after="0" w:line="240" w:lineRule="auto"/>
      </w:pPr>
      <w:rPr>
        <w:b/>
        <w:bCs/>
      </w:rPr>
      <w:tblPr/>
      <w:tcPr>
        <w:tcBorders>
          <w:top w:val="double" w:sz="6"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4" w:themeFillTint="3F"/>
      </w:tcPr>
    </w:tblStylePr>
    <w:tblStylePr w:type="band1Horz">
      <w:tblPr/>
      <w:tcPr>
        <w:tcBorders>
          <w:insideH w:val="nil"/>
          <w:insideV w:val="nil"/>
        </w:tcBorders>
        <w:shd w:val="clear" w:color="auto" w:fill="FAFCF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single" w:sz="8" w:space="0" w:color="D8EFEC" w:themeColor="accent5" w:themeTint="BF"/>
      </w:tblBorders>
    </w:tblPr>
    <w:tblStylePr w:type="firstRow">
      <w:pPr>
        <w:spacing w:before="0" w:after="0" w:line="240" w:lineRule="auto"/>
      </w:pPr>
      <w:rPr>
        <w:b/>
        <w:bCs/>
        <w:color w:val="FFFFFF" w:themeColor="background1"/>
      </w:rPr>
      <w:tblPr/>
      <w:tcPr>
        <w:tcBorders>
          <w:top w:val="single" w:sz="8"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nil"/>
          <w:insideV w:val="nil"/>
        </w:tcBorders>
        <w:shd w:val="clear" w:color="auto" w:fill="CCEAE6" w:themeFill="accent5"/>
      </w:tcPr>
    </w:tblStylePr>
    <w:tblStylePr w:type="lastRow">
      <w:pPr>
        <w:spacing w:before="0" w:after="0" w:line="240" w:lineRule="auto"/>
      </w:pPr>
      <w:rPr>
        <w:b/>
        <w:bCs/>
      </w:rPr>
      <w:tblPr/>
      <w:tcPr>
        <w:tcBorders>
          <w:top w:val="double" w:sz="6"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F9F8" w:themeFill="accent5" w:themeFillTint="3F"/>
      </w:tcPr>
    </w:tblStylePr>
    <w:tblStylePr w:type="band1Horz">
      <w:tblPr/>
      <w:tcPr>
        <w:tcBorders>
          <w:insideH w:val="nil"/>
          <w:insideV w:val="nil"/>
        </w:tcBorders>
        <w:shd w:val="clear" w:color="auto" w:fill="F2F9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single" w:sz="8" w:space="0" w:color="7C8897" w:themeColor="accent6" w:themeTint="BF"/>
      </w:tblBorders>
    </w:tblPr>
    <w:tblStylePr w:type="firstRow">
      <w:pPr>
        <w:spacing w:before="0" w:after="0" w:line="240" w:lineRule="auto"/>
      </w:pPr>
      <w:rPr>
        <w:b/>
        <w:bCs/>
        <w:color w:val="FFFFFF" w:themeColor="background1"/>
      </w:rPr>
      <w:tblPr/>
      <w:tcPr>
        <w:tcBorders>
          <w:top w:val="single" w:sz="8"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nil"/>
          <w:insideV w:val="nil"/>
        </w:tcBorders>
        <w:shd w:val="clear" w:color="auto" w:fill="57626E" w:themeFill="accent6"/>
      </w:tcPr>
    </w:tblStylePr>
    <w:tblStylePr w:type="lastRow">
      <w:pPr>
        <w:spacing w:before="0" w:after="0" w:line="240" w:lineRule="auto"/>
      </w:pPr>
      <w:rPr>
        <w:b/>
        <w:bCs/>
      </w:rPr>
      <w:tblPr/>
      <w:tcPr>
        <w:tcBorders>
          <w:top w:val="double" w:sz="6"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8DC" w:themeFill="accent6" w:themeFillTint="3F"/>
      </w:tcPr>
    </w:tblStylePr>
    <w:tblStylePr w:type="band1Horz">
      <w:tblPr/>
      <w:tcPr>
        <w:tcBorders>
          <w:insideH w:val="nil"/>
          <w:insideV w:val="nil"/>
        </w:tcBorders>
        <w:shd w:val="clear" w:color="auto" w:fill="D3D8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8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D8D8" w:themeFill="accent1"/>
      </w:tcPr>
    </w:tblStylePr>
    <w:tblStylePr w:type="lastCol">
      <w:rPr>
        <w:b/>
        <w:bCs/>
        <w:color w:val="FFFFFF" w:themeColor="background1"/>
      </w:rPr>
      <w:tblPr/>
      <w:tcPr>
        <w:tcBorders>
          <w:left w:val="nil"/>
          <w:right w:val="nil"/>
          <w:insideH w:val="nil"/>
          <w:insideV w:val="nil"/>
        </w:tcBorders>
        <w:shd w:val="clear" w:color="auto" w:fill="D8D8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A5A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A5AD" w:themeFill="accent2"/>
      </w:tcPr>
    </w:tblStylePr>
    <w:tblStylePr w:type="lastCol">
      <w:rPr>
        <w:b/>
        <w:bCs/>
        <w:color w:val="FFFFFF" w:themeColor="background1"/>
      </w:rPr>
      <w:tblPr/>
      <w:tcPr>
        <w:tcBorders>
          <w:left w:val="nil"/>
          <w:right w:val="nil"/>
          <w:insideH w:val="nil"/>
          <w:insideV w:val="nil"/>
        </w:tcBorders>
        <w:shd w:val="clear" w:color="auto" w:fill="A2A5A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E7F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6E7F2" w:themeFill="accent3"/>
      </w:tcPr>
    </w:tblStylePr>
    <w:tblStylePr w:type="lastCol">
      <w:rPr>
        <w:b/>
        <w:bCs/>
        <w:color w:val="FFFFFF" w:themeColor="background1"/>
      </w:rPr>
      <w:tblPr/>
      <w:tcPr>
        <w:tcBorders>
          <w:left w:val="nil"/>
          <w:right w:val="nil"/>
          <w:insideH w:val="nil"/>
          <w:insideV w:val="nil"/>
        </w:tcBorders>
        <w:shd w:val="clear" w:color="auto" w:fill="D6E7F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F6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F6FA" w:themeFill="accent4"/>
      </w:tcPr>
    </w:tblStylePr>
    <w:tblStylePr w:type="lastCol">
      <w:rPr>
        <w:b/>
        <w:bCs/>
        <w:color w:val="FFFFFF" w:themeColor="background1"/>
      </w:rPr>
      <w:tblPr/>
      <w:tcPr>
        <w:tcBorders>
          <w:left w:val="nil"/>
          <w:right w:val="nil"/>
          <w:insideH w:val="nil"/>
          <w:insideV w:val="nil"/>
        </w:tcBorders>
        <w:shd w:val="clear" w:color="auto" w:fill="EFF6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EA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EAE6" w:themeFill="accent5"/>
      </w:tcPr>
    </w:tblStylePr>
    <w:tblStylePr w:type="lastCol">
      <w:rPr>
        <w:b/>
        <w:bCs/>
        <w:color w:val="FFFFFF" w:themeColor="background1"/>
      </w:rPr>
      <w:tblPr/>
      <w:tcPr>
        <w:tcBorders>
          <w:left w:val="nil"/>
          <w:right w:val="nil"/>
          <w:insideH w:val="nil"/>
          <w:insideV w:val="nil"/>
        </w:tcBorders>
        <w:shd w:val="clear" w:color="auto" w:fill="CCEA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626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626E" w:themeFill="accent6"/>
      </w:tcPr>
    </w:tblStylePr>
    <w:tblStylePr w:type="lastCol">
      <w:rPr>
        <w:b/>
        <w:bCs/>
        <w:color w:val="FFFFFF" w:themeColor="background1"/>
      </w:rPr>
      <w:tblPr/>
      <w:tcPr>
        <w:tcBorders>
          <w:left w:val="nil"/>
          <w:right w:val="nil"/>
          <w:insideH w:val="nil"/>
          <w:insideV w:val="nil"/>
        </w:tcBorders>
        <w:shd w:val="clear" w:color="auto" w:fill="57626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customStyle="1" w:styleId="NoteHeading1">
    <w:name w:val="Note Heading1"/>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1"/>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semiHidden/>
    <w:rsid w:val="00B91810"/>
    <w:rPr>
      <w:i/>
      <w:iCs/>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semiHidden/>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D8D8D8" w:themeColor="accent1"/>
      <w:spacing w:val="15"/>
      <w:sz w:val="24"/>
      <w:szCs w:val="24"/>
    </w:rPr>
  </w:style>
  <w:style w:type="character" w:customStyle="1" w:styleId="SubtitleChar">
    <w:name w:val="Subtitle Char"/>
    <w:basedOn w:val="DefaultParagraphFont"/>
    <w:link w:val="Subtitle"/>
    <w:uiPriority w:val="11"/>
    <w:semiHidden/>
    <w:rsid w:val="00B91810"/>
    <w:rPr>
      <w:rFonts w:asciiTheme="majorHAnsi" w:eastAsiaTheme="majorEastAsia" w:hAnsiTheme="majorHAnsi" w:cstheme="majorBidi"/>
      <w:i/>
      <w:iCs/>
      <w:color w:val="D8D8D8" w:themeColor="accent1"/>
      <w:spacing w:val="15"/>
      <w:sz w:val="24"/>
      <w:szCs w:val="24"/>
      <w:lang w:val="en-GB"/>
    </w:rPr>
  </w:style>
  <w:style w:type="character" w:styleId="SubtleEmphasis">
    <w:name w:val="Subtle Emphasis"/>
    <w:basedOn w:val="DefaultParagraphFont"/>
    <w:uiPriority w:val="19"/>
    <w:semiHidden/>
    <w:rsid w:val="00B91810"/>
    <w:rPr>
      <w:i/>
      <w:iCs/>
      <w:color w:val="808080" w:themeColor="text1" w:themeTint="7F"/>
      <w:lang w:val="en-GB"/>
    </w:rPr>
  </w:style>
  <w:style w:type="character" w:styleId="SubtleReference">
    <w:name w:val="Subtle Reference"/>
    <w:basedOn w:val="DefaultParagraphFont"/>
    <w:uiPriority w:val="31"/>
    <w:semiHidden/>
    <w:rsid w:val="00B91810"/>
    <w:rPr>
      <w:smallCaps/>
      <w:color w:val="A2A5AD"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57F1F"/>
    <w:pPr>
      <w:spacing w:after="0"/>
      <w:ind w:left="442"/>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D73AEE"/>
    <w:pPr>
      <w:tabs>
        <w:tab w:val="left" w:pos="0"/>
      </w:tabs>
      <w:spacing w:before="280" w:after="0"/>
      <w:ind w:left="-567"/>
    </w:pPr>
    <w:rPr>
      <w:b/>
    </w:rPr>
  </w:style>
  <w:style w:type="paragraph" w:styleId="TOC8">
    <w:name w:val="toc 8"/>
    <w:basedOn w:val="TOC2"/>
    <w:next w:val="Normal"/>
    <w:uiPriority w:val="39"/>
    <w:semiHidden/>
    <w:unhideWhenUsed/>
    <w:rsid w:val="001A5D95"/>
  </w:style>
  <w:style w:type="paragraph" w:styleId="TOC9">
    <w:name w:val="toc 9"/>
    <w:basedOn w:val="TOC3"/>
    <w:next w:val="Normal"/>
    <w:uiPriority w:val="39"/>
    <w:semiHidden/>
    <w:unhideWhenUsed/>
    <w:rsid w:val="001A5D95"/>
  </w:style>
  <w:style w:type="paragraph" w:customStyle="1" w:styleId="SDGExec1">
    <w:name w:val="SDG Exec 1"/>
    <w:next w:val="SDGExec2"/>
    <w:uiPriority w:val="2"/>
    <w:qFormat/>
    <w:rsid w:val="00A57753"/>
    <w:pPr>
      <w:keepNext/>
      <w:tabs>
        <w:tab w:val="left" w:pos="0"/>
      </w:tabs>
      <w:outlineLvl w:val="0"/>
    </w:pPr>
    <w:rPr>
      <w:rFonts w:asciiTheme="majorHAnsi" w:eastAsiaTheme="majorEastAsia" w:hAnsiTheme="majorHAnsi" w:cstheme="majorBidi"/>
      <w:b/>
      <w:iCs/>
      <w:color w:val="009483" w:themeColor="text2"/>
      <w:spacing w:val="15"/>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color w:val="auto"/>
      <w:sz w:val="20"/>
      <w:szCs w:val="24"/>
      <w:lang w:eastAsia="en-GB"/>
    </w:rPr>
  </w:style>
  <w:style w:type="paragraph" w:customStyle="1" w:styleId="SDGHidden">
    <w:name w:val="SDG Hidden"/>
    <w:basedOn w:val="Normal"/>
    <w:hidden/>
    <w:rsid w:val="008D079E"/>
    <w:pPr>
      <w:spacing w:before="40" w:after="12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color w:val="auto"/>
      <w:sz w:val="20"/>
      <w:szCs w:val="24"/>
      <w:lang w:eastAsia="en-GB"/>
    </w:rPr>
  </w:style>
  <w:style w:type="paragraph" w:customStyle="1" w:styleId="CSTitle">
    <w:name w:val="CS Title"/>
    <w:uiPriority w:val="1"/>
    <w:semiHidden/>
    <w:rsid w:val="00343512"/>
    <w:pPr>
      <w:spacing w:after="280" w:line="240" w:lineRule="auto"/>
    </w:pPr>
    <w:rPr>
      <w:rFonts w:asciiTheme="majorHAnsi" w:eastAsia="Times New Roman" w:hAnsiTheme="majorHAnsi" w:cs="Times New Roman"/>
      <w:caps/>
      <w:szCs w:val="24"/>
      <w:lang w:eastAsia="en-GB"/>
    </w:rPr>
  </w:style>
  <w:style w:type="paragraph" w:customStyle="1" w:styleId="CSHeading">
    <w:name w:val="CS Heading"/>
    <w:basedOn w:val="SDGControlheading"/>
    <w:uiPriority w:val="1"/>
    <w:semiHidden/>
    <w:rsid w:val="007C1805"/>
    <w:pPr>
      <w:pBdr>
        <w:top w:val="none" w:sz="0" w:space="0" w:color="auto"/>
        <w:left w:val="none" w:sz="0" w:space="0" w:color="auto"/>
        <w:bottom w:val="single" w:sz="8" w:space="1" w:color="57626E" w:themeColor="background2"/>
        <w:right w:val="none" w:sz="0" w:space="0" w:color="auto"/>
      </w:pBdr>
      <w:shd w:val="clear" w:color="auto" w:fill="auto"/>
      <w:spacing w:before="280" w:after="140" w:line="320" w:lineRule="atLeast"/>
      <w:ind w:right="-170"/>
      <w:jc w:val="left"/>
    </w:pPr>
    <w:rPr>
      <w:b/>
      <w:caps w:val="0"/>
      <w:color w:val="404040" w:themeColor="text1" w:themeTint="BF"/>
      <w:sz w:val="22"/>
    </w:rPr>
  </w:style>
  <w:style w:type="numbering" w:customStyle="1" w:styleId="SDGAppendixHeadings">
    <w:name w:val="SDG Appendix Headings"/>
    <w:uiPriority w:val="99"/>
    <w:semiHidden/>
    <w:rsid w:val="007A244D"/>
    <w:pPr>
      <w:numPr>
        <w:numId w:val="10"/>
      </w:numPr>
    </w:pPr>
  </w:style>
  <w:style w:type="paragraph" w:customStyle="1" w:styleId="SDGAppendixListNumber">
    <w:name w:val="SDG Appendix List Number"/>
    <w:basedOn w:val="Heading9"/>
    <w:uiPriority w:val="23"/>
    <w:qFormat/>
    <w:rsid w:val="007A244D"/>
    <w:pPr>
      <w:keepNext w:val="0"/>
      <w:keepLines w:val="0"/>
      <w:numPr>
        <w:ilvl w:val="3"/>
      </w:numPr>
      <w:outlineLvl w:val="9"/>
    </w:pPr>
    <w:rPr>
      <w:b w:val="0"/>
    </w:rPr>
  </w:style>
  <w:style w:type="paragraph" w:customStyle="1" w:styleId="Appendix2Heading8">
    <w:name w:val="Appendix 2  (Heading 8)"/>
    <w:basedOn w:val="Normal"/>
    <w:semiHidden/>
    <w:rsid w:val="00F43296"/>
  </w:style>
  <w:style w:type="paragraph" w:customStyle="1" w:styleId="Appendix2n">
    <w:name w:val="Appendix 2n"/>
    <w:basedOn w:val="Heading2"/>
    <w:next w:val="SDGAppendixListNumber"/>
    <w:uiPriority w:val="21"/>
    <w:qFormat/>
    <w:rsid w:val="001E44A0"/>
    <w:pPr>
      <w:numPr>
        <w:ilvl w:val="0"/>
        <w:numId w:val="0"/>
      </w:numPr>
      <w:outlineLvl w:val="7"/>
    </w:pPr>
  </w:style>
  <w:style w:type="paragraph" w:customStyle="1" w:styleId="Appendix3n">
    <w:name w:val="Appendix 3n"/>
    <w:basedOn w:val="Heading3"/>
    <w:next w:val="SDGAppendixListNumber"/>
    <w:uiPriority w:val="22"/>
    <w:qFormat/>
    <w:rsid w:val="007C26E0"/>
    <w:pPr>
      <w:outlineLvl w:val="8"/>
    </w:pPr>
  </w:style>
  <w:style w:type="paragraph" w:customStyle="1" w:styleId="SDGExec2">
    <w:name w:val="SDG Exec 2"/>
    <w:uiPriority w:val="3"/>
    <w:qFormat/>
    <w:rsid w:val="00D7516F"/>
    <w:pPr>
      <w:keepNext/>
      <w:outlineLvl w:val="1"/>
    </w:pPr>
    <w:rPr>
      <w:rFonts w:asciiTheme="majorHAnsi" w:eastAsiaTheme="majorEastAsia" w:hAnsiTheme="majorHAnsi" w:cstheme="majorBidi"/>
      <w:b/>
      <w:bCs/>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1E5F0D"/>
    <w:pPr>
      <w:spacing w:before="0" w:after="0" w:line="280" w:lineRule="exact"/>
    </w:pPr>
    <w:rPr>
      <w:b/>
      <w:color w:val="FFFFFF" w:themeColor="background1"/>
      <w:sz w:val="28"/>
    </w:rPr>
  </w:style>
  <w:style w:type="paragraph" w:customStyle="1" w:styleId="Reasons">
    <w:name w:val="Reasons"/>
    <w:uiPriority w:val="1"/>
    <w:semiHidden/>
    <w:rsid w:val="001E5F0D"/>
    <w:pPr>
      <w:spacing w:before="0" w:after="240" w:line="240" w:lineRule="atLeast"/>
    </w:pPr>
    <w:rPr>
      <w:color w:val="FFFFFF" w:themeColor="background1"/>
      <w:spacing w:val="-6"/>
      <w:sz w:val="20"/>
    </w:rPr>
  </w:style>
  <w:style w:type="paragraph" w:customStyle="1" w:styleId="Proposaladdresses">
    <w:name w:val="Proposal addresses"/>
    <w:uiPriority w:val="1"/>
    <w:semiHidden/>
    <w:rsid w:val="00694AE3"/>
    <w:pPr>
      <w:spacing w:before="0" w:after="280"/>
      <w:contextualSpacing/>
    </w:pPr>
    <w:rPr>
      <w:color w:val="FFFFFF" w:themeColor="background1"/>
    </w:rPr>
  </w:style>
  <w:style w:type="paragraph" w:customStyle="1" w:styleId="PullQuote">
    <w:name w:val="Pull Quote"/>
    <w:next w:val="Normal"/>
    <w:uiPriority w:val="17"/>
    <w:qFormat/>
    <w:rsid w:val="0025292F"/>
    <w:pPr>
      <w:pBdr>
        <w:top w:val="single" w:sz="2" w:space="3" w:color="7F7F7F" w:themeColor="text1" w:themeTint="80"/>
        <w:bottom w:val="single" w:sz="2" w:space="5" w:color="7F7F7F" w:themeColor="text1" w:themeTint="80"/>
      </w:pBdr>
      <w:spacing w:before="280" w:after="360" w:line="320" w:lineRule="exact"/>
      <w:jc w:val="center"/>
    </w:pPr>
    <w:rPr>
      <w:color w:val="7F7F7F" w:themeColor="text1" w:themeTint="80"/>
      <w:sz w:val="28"/>
    </w:rPr>
  </w:style>
  <w:style w:type="paragraph" w:customStyle="1" w:styleId="NormalNumbered">
    <w:name w:val="Normal Numbered"/>
    <w:basedOn w:val="Normal"/>
    <w:uiPriority w:val="8"/>
    <w:qFormat/>
    <w:rsid w:val="00B40F36"/>
    <w:pPr>
      <w:numPr>
        <w:ilvl w:val="3"/>
        <w:numId w:val="14"/>
      </w:numPr>
    </w:pPr>
  </w:style>
  <w:style w:type="numbering" w:customStyle="1" w:styleId="SDGListNumbers">
    <w:name w:val="SDG List Numbers"/>
    <w:uiPriority w:val="99"/>
    <w:semiHidden/>
    <w:rsid w:val="00A11C25"/>
    <w:pPr>
      <w:numPr>
        <w:numId w:val="11"/>
      </w:numPr>
    </w:pPr>
  </w:style>
  <w:style w:type="paragraph" w:customStyle="1" w:styleId="ListEnd">
    <w:name w:val="List End"/>
    <w:next w:val="NormalNumbered"/>
    <w:uiPriority w:val="1"/>
    <w:semiHidden/>
    <w:rsid w:val="00D06C9D"/>
    <w:pPr>
      <w:spacing w:after="0" w:line="140" w:lineRule="exact"/>
    </w:pPr>
  </w:style>
  <w:style w:type="paragraph" w:customStyle="1" w:styleId="Path">
    <w:name w:val="Path"/>
    <w:basedOn w:val="Footer"/>
    <w:uiPriority w:val="1"/>
    <w:semiHidden/>
    <w:rsid w:val="003D7D29"/>
    <w:pPr>
      <w:spacing w:after="140"/>
      <w:ind w:left="0"/>
    </w:pPr>
    <w:rPr>
      <w:noProof/>
      <w:sz w:val="12"/>
    </w:rPr>
  </w:style>
  <w:style w:type="paragraph" w:customStyle="1" w:styleId="SDGCaptiontable">
    <w:name w:val="SDG Caption table"/>
    <w:basedOn w:val="SDGCaptionfigure"/>
    <w:next w:val="Normal"/>
    <w:semiHidden/>
    <w:rsid w:val="00F15E56"/>
  </w:style>
  <w:style w:type="paragraph" w:customStyle="1" w:styleId="SDGCaptionfigure">
    <w:name w:val="SDG Caption figure"/>
    <w:basedOn w:val="Caption"/>
    <w:next w:val="Normal"/>
    <w:semiHidden/>
    <w:rsid w:val="00F15E56"/>
  </w:style>
  <w:style w:type="paragraph" w:customStyle="1" w:styleId="SDGCaptionfigureAppendix">
    <w:name w:val="SDG Caption figure Appendix"/>
    <w:basedOn w:val="SDGCaptionfigure"/>
    <w:next w:val="Normal"/>
    <w:semiHidden/>
    <w:rsid w:val="00F15E56"/>
    <w:pPr>
      <w:tabs>
        <w:tab w:val="left" w:pos="3402"/>
      </w:tabs>
    </w:pPr>
  </w:style>
  <w:style w:type="paragraph" w:customStyle="1" w:styleId="SDGCaptiontableAppendix">
    <w:name w:val="SDG Caption table Appendix"/>
    <w:basedOn w:val="SDGCaptiontable"/>
    <w:next w:val="Normal"/>
    <w:semiHidden/>
    <w:rsid w:val="00F15E56"/>
    <w:pPr>
      <w:tabs>
        <w:tab w:val="left" w:pos="3402"/>
      </w:tabs>
    </w:pPr>
  </w:style>
  <w:style w:type="table" w:customStyle="1" w:styleId="SDGControlInformation">
    <w:name w:val="SDG Control Information"/>
    <w:basedOn w:val="TableNormal"/>
    <w:uiPriority w:val="99"/>
    <w:semiHidden/>
    <w:rsid w:val="00A42A37"/>
    <w:pPr>
      <w:spacing w:before="0" w:after="0" w:line="160" w:lineRule="atLeast"/>
    </w:pPr>
    <w:rPr>
      <w:sz w:val="16"/>
    </w:rPr>
    <w:tblPr>
      <w:tblCellMar>
        <w:top w:w="57" w:type="dxa"/>
        <w:left w:w="57" w:type="dxa"/>
        <w:bottom w:w="57" w:type="dxa"/>
        <w:right w:w="57" w:type="dxa"/>
      </w:tblCellMar>
    </w:tblPr>
    <w:tblStylePr w:type="firstRow">
      <w:rPr>
        <w:b/>
      </w:rPr>
      <w:tblPr/>
      <w:tcPr>
        <w:tcBorders>
          <w:top w:val="nil"/>
          <w:left w:val="nil"/>
          <w:bottom w:val="single" w:sz="6" w:space="0" w:color="D8D8D8" w:themeColor="accent1"/>
          <w:right w:val="nil"/>
          <w:insideH w:val="nil"/>
          <w:insideV w:val="nil"/>
          <w:tl2br w:val="nil"/>
          <w:tr2bl w:val="nil"/>
        </w:tcBorders>
      </w:tcPr>
    </w:tblStylePr>
  </w:style>
  <w:style w:type="paragraph" w:customStyle="1" w:styleId="Spaceaftertable">
    <w:name w:val="Space after table"/>
    <w:basedOn w:val="Normal"/>
    <w:uiPriority w:val="1"/>
    <w:semiHidden/>
    <w:rsid w:val="00F8390D"/>
    <w:pPr>
      <w:spacing w:before="0" w:after="0" w:line="240" w:lineRule="auto"/>
    </w:pPr>
    <w:rPr>
      <w:sz w:val="16"/>
    </w:rPr>
  </w:style>
  <w:style w:type="paragraph" w:customStyle="1" w:styleId="Hidden">
    <w:name w:val="Hidden"/>
    <w:basedOn w:val="Normal"/>
    <w:uiPriority w:val="1"/>
    <w:semiHidden/>
    <w:rsid w:val="00802C80"/>
    <w:rPr>
      <w:vanish/>
    </w:rPr>
  </w:style>
  <w:style w:type="table" w:styleId="GridTable1Light">
    <w:name w:val="Grid Table 1 Light"/>
    <w:basedOn w:val="TableNormal"/>
    <w:uiPriority w:val="46"/>
    <w:semiHidden/>
    <w:rsid w:val="00773A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3A62"/>
    <w:pPr>
      <w:spacing w:after="0" w:line="240" w:lineRule="auto"/>
    </w:pPr>
    <w:tblPr>
      <w:tblStyleRowBandSize w:val="1"/>
      <w:tblStyleColBandSize w:val="1"/>
      <w:tblBorders>
        <w:top w:val="single" w:sz="4" w:space="0" w:color="EFEFEF" w:themeColor="accent1" w:themeTint="66"/>
        <w:left w:val="single" w:sz="4" w:space="0" w:color="EFEFEF" w:themeColor="accent1" w:themeTint="66"/>
        <w:bottom w:val="single" w:sz="4" w:space="0" w:color="EFEFEF" w:themeColor="accent1" w:themeTint="66"/>
        <w:right w:val="single" w:sz="4" w:space="0" w:color="EFEFEF" w:themeColor="accent1" w:themeTint="66"/>
        <w:insideH w:val="single" w:sz="4" w:space="0" w:color="EFEFEF" w:themeColor="accent1" w:themeTint="66"/>
        <w:insideV w:val="single" w:sz="4" w:space="0" w:color="EFEFEF" w:themeColor="accent1" w:themeTint="66"/>
      </w:tblBorders>
    </w:tblPr>
    <w:tblStylePr w:type="firstRow">
      <w:rPr>
        <w:b/>
        <w:bCs/>
      </w:rPr>
      <w:tblPr/>
      <w:tcPr>
        <w:tcBorders>
          <w:bottom w:val="single" w:sz="12" w:space="0" w:color="E7E7E7" w:themeColor="accent1" w:themeTint="99"/>
        </w:tcBorders>
      </w:tcPr>
    </w:tblStylePr>
    <w:tblStylePr w:type="lastRow">
      <w:rPr>
        <w:b/>
        <w:bCs/>
      </w:rPr>
      <w:tblPr/>
      <w:tcPr>
        <w:tcBorders>
          <w:top w:val="double" w:sz="2" w:space="0" w:color="E7E7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3A62"/>
    <w:pPr>
      <w:spacing w:after="0" w:line="240" w:lineRule="auto"/>
    </w:pPr>
    <w:tblPr>
      <w:tblStyleRowBandSize w:val="1"/>
      <w:tblStyleColBandSize w:val="1"/>
      <w:tblBorders>
        <w:top w:val="single" w:sz="4" w:space="0" w:color="D9DADE" w:themeColor="accent2" w:themeTint="66"/>
        <w:left w:val="single" w:sz="4" w:space="0" w:color="D9DADE" w:themeColor="accent2" w:themeTint="66"/>
        <w:bottom w:val="single" w:sz="4" w:space="0" w:color="D9DADE" w:themeColor="accent2" w:themeTint="66"/>
        <w:right w:val="single" w:sz="4" w:space="0" w:color="D9DADE" w:themeColor="accent2" w:themeTint="66"/>
        <w:insideH w:val="single" w:sz="4" w:space="0" w:color="D9DADE" w:themeColor="accent2" w:themeTint="66"/>
        <w:insideV w:val="single" w:sz="4" w:space="0" w:color="D9DADE" w:themeColor="accent2" w:themeTint="66"/>
      </w:tblBorders>
    </w:tblPr>
    <w:tblStylePr w:type="firstRow">
      <w:rPr>
        <w:b/>
        <w:bCs/>
      </w:rPr>
      <w:tblPr/>
      <w:tcPr>
        <w:tcBorders>
          <w:bottom w:val="single" w:sz="12" w:space="0" w:color="C7C8CD" w:themeColor="accent2" w:themeTint="99"/>
        </w:tcBorders>
      </w:tcPr>
    </w:tblStylePr>
    <w:tblStylePr w:type="lastRow">
      <w:rPr>
        <w:b/>
        <w:bCs/>
      </w:rPr>
      <w:tblPr/>
      <w:tcPr>
        <w:tcBorders>
          <w:top w:val="double" w:sz="2" w:space="0" w:color="C7C8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3A62"/>
    <w:pPr>
      <w:spacing w:after="0" w:line="240" w:lineRule="auto"/>
    </w:pPr>
    <w:tblPr>
      <w:tblStyleRowBandSize w:val="1"/>
      <w:tblStyleColBandSize w:val="1"/>
      <w:tblBorders>
        <w:top w:val="single" w:sz="4" w:space="0" w:color="EEF5F9" w:themeColor="accent3" w:themeTint="66"/>
        <w:left w:val="single" w:sz="4" w:space="0" w:color="EEF5F9" w:themeColor="accent3" w:themeTint="66"/>
        <w:bottom w:val="single" w:sz="4" w:space="0" w:color="EEF5F9" w:themeColor="accent3" w:themeTint="66"/>
        <w:right w:val="single" w:sz="4" w:space="0" w:color="EEF5F9" w:themeColor="accent3" w:themeTint="66"/>
        <w:insideH w:val="single" w:sz="4" w:space="0" w:color="EEF5F9" w:themeColor="accent3" w:themeTint="66"/>
        <w:insideV w:val="single" w:sz="4" w:space="0" w:color="EEF5F9" w:themeColor="accent3" w:themeTint="66"/>
      </w:tblBorders>
    </w:tblPr>
    <w:tblStylePr w:type="firstRow">
      <w:rPr>
        <w:b/>
        <w:bCs/>
      </w:rPr>
      <w:tblPr/>
      <w:tcPr>
        <w:tcBorders>
          <w:bottom w:val="single" w:sz="12" w:space="0" w:color="E6F0F7" w:themeColor="accent3" w:themeTint="99"/>
        </w:tcBorders>
      </w:tcPr>
    </w:tblStylePr>
    <w:tblStylePr w:type="lastRow">
      <w:rPr>
        <w:b/>
        <w:bCs/>
      </w:rPr>
      <w:tblPr/>
      <w:tcPr>
        <w:tcBorders>
          <w:top w:val="double" w:sz="2" w:space="0" w:color="E6F0F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3A62"/>
    <w:pPr>
      <w:spacing w:after="0" w:line="240" w:lineRule="auto"/>
    </w:pPr>
    <w:tblPr>
      <w:tblStyleRowBandSize w:val="1"/>
      <w:tblStyleColBandSize w:val="1"/>
      <w:tblBorders>
        <w:top w:val="single" w:sz="4" w:space="0" w:color="F8FBFD" w:themeColor="accent4" w:themeTint="66"/>
        <w:left w:val="single" w:sz="4" w:space="0" w:color="F8FBFD" w:themeColor="accent4" w:themeTint="66"/>
        <w:bottom w:val="single" w:sz="4" w:space="0" w:color="F8FBFD" w:themeColor="accent4" w:themeTint="66"/>
        <w:right w:val="single" w:sz="4" w:space="0" w:color="F8FBFD" w:themeColor="accent4" w:themeTint="66"/>
        <w:insideH w:val="single" w:sz="4" w:space="0" w:color="F8FBFD" w:themeColor="accent4" w:themeTint="66"/>
        <w:insideV w:val="single" w:sz="4" w:space="0" w:color="F8FBFD" w:themeColor="accent4" w:themeTint="66"/>
      </w:tblBorders>
    </w:tblPr>
    <w:tblStylePr w:type="firstRow">
      <w:rPr>
        <w:b/>
        <w:bCs/>
      </w:rPr>
      <w:tblPr/>
      <w:tcPr>
        <w:tcBorders>
          <w:bottom w:val="single" w:sz="12" w:space="0" w:color="F5F9FC" w:themeColor="accent4" w:themeTint="99"/>
        </w:tcBorders>
      </w:tcPr>
    </w:tblStylePr>
    <w:tblStylePr w:type="lastRow">
      <w:rPr>
        <w:b/>
        <w:bCs/>
      </w:rPr>
      <w:tblPr/>
      <w:tcPr>
        <w:tcBorders>
          <w:top w:val="double" w:sz="2" w:space="0" w:color="F5F9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3A62"/>
    <w:pPr>
      <w:spacing w:after="0" w:line="240" w:lineRule="auto"/>
    </w:pPr>
    <w:tblPr>
      <w:tblStyleRowBandSize w:val="1"/>
      <w:tblStyleColBandSize w:val="1"/>
      <w:tblBorders>
        <w:top w:val="single" w:sz="4" w:space="0" w:color="EAF6F5" w:themeColor="accent5" w:themeTint="66"/>
        <w:left w:val="single" w:sz="4" w:space="0" w:color="EAF6F5" w:themeColor="accent5" w:themeTint="66"/>
        <w:bottom w:val="single" w:sz="4" w:space="0" w:color="EAF6F5" w:themeColor="accent5" w:themeTint="66"/>
        <w:right w:val="single" w:sz="4" w:space="0" w:color="EAF6F5" w:themeColor="accent5" w:themeTint="66"/>
        <w:insideH w:val="single" w:sz="4" w:space="0" w:color="EAF6F5" w:themeColor="accent5" w:themeTint="66"/>
        <w:insideV w:val="single" w:sz="4" w:space="0" w:color="EAF6F5" w:themeColor="accent5" w:themeTint="66"/>
      </w:tblBorders>
    </w:tblPr>
    <w:tblStylePr w:type="firstRow">
      <w:rPr>
        <w:b/>
        <w:bCs/>
      </w:rPr>
      <w:tblPr/>
      <w:tcPr>
        <w:tcBorders>
          <w:bottom w:val="single" w:sz="12" w:space="0" w:color="E0F2F0" w:themeColor="accent5" w:themeTint="99"/>
        </w:tcBorders>
      </w:tcPr>
    </w:tblStylePr>
    <w:tblStylePr w:type="lastRow">
      <w:rPr>
        <w:b/>
        <w:bCs/>
      </w:rPr>
      <w:tblPr/>
      <w:tcPr>
        <w:tcBorders>
          <w:top w:val="double" w:sz="2" w:space="0" w:color="E0F2F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3A62"/>
    <w:pPr>
      <w:spacing w:after="0" w:line="240" w:lineRule="auto"/>
    </w:pPr>
    <w:tblPr>
      <w:tblStyleRowBandSize w:val="1"/>
      <w:tblStyleColBandSize w:val="1"/>
      <w:tblBorders>
        <w:top w:val="single" w:sz="4" w:space="0" w:color="B9BFC7" w:themeColor="accent6" w:themeTint="66"/>
        <w:left w:val="single" w:sz="4" w:space="0" w:color="B9BFC7" w:themeColor="accent6" w:themeTint="66"/>
        <w:bottom w:val="single" w:sz="4" w:space="0" w:color="B9BFC7" w:themeColor="accent6" w:themeTint="66"/>
        <w:right w:val="single" w:sz="4" w:space="0" w:color="B9BFC7" w:themeColor="accent6" w:themeTint="66"/>
        <w:insideH w:val="single" w:sz="4" w:space="0" w:color="B9BFC7" w:themeColor="accent6" w:themeTint="66"/>
        <w:insideV w:val="single" w:sz="4" w:space="0" w:color="B9BFC7" w:themeColor="accent6" w:themeTint="66"/>
      </w:tblBorders>
    </w:tblPr>
    <w:tblStylePr w:type="firstRow">
      <w:rPr>
        <w:b/>
        <w:bCs/>
      </w:rPr>
      <w:tblPr/>
      <w:tcPr>
        <w:tcBorders>
          <w:bottom w:val="single" w:sz="12" w:space="0" w:color="96A0AC" w:themeColor="accent6" w:themeTint="99"/>
        </w:tcBorders>
      </w:tcPr>
    </w:tblStylePr>
    <w:tblStylePr w:type="lastRow">
      <w:rPr>
        <w:b/>
        <w:bCs/>
      </w:rPr>
      <w:tblPr/>
      <w:tcPr>
        <w:tcBorders>
          <w:top w:val="double" w:sz="2" w:space="0" w:color="96A0A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3A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3A62"/>
    <w:pPr>
      <w:spacing w:after="0" w:line="240" w:lineRule="auto"/>
    </w:pPr>
    <w:tblPr>
      <w:tblStyleRowBandSize w:val="1"/>
      <w:tblStyleColBandSize w:val="1"/>
      <w:tblBorders>
        <w:top w:val="single" w:sz="2" w:space="0" w:color="E7E7E7" w:themeColor="accent1" w:themeTint="99"/>
        <w:bottom w:val="single" w:sz="2" w:space="0" w:color="E7E7E7" w:themeColor="accent1" w:themeTint="99"/>
        <w:insideH w:val="single" w:sz="2" w:space="0" w:color="E7E7E7" w:themeColor="accent1" w:themeTint="99"/>
        <w:insideV w:val="single" w:sz="2" w:space="0" w:color="E7E7E7" w:themeColor="accent1" w:themeTint="99"/>
      </w:tblBorders>
    </w:tblPr>
    <w:tblStylePr w:type="firstRow">
      <w:rPr>
        <w:b/>
        <w:bCs/>
      </w:rPr>
      <w:tblPr/>
      <w:tcPr>
        <w:tcBorders>
          <w:top w:val="nil"/>
          <w:bottom w:val="single" w:sz="12" w:space="0" w:color="E7E7E7" w:themeColor="accent1" w:themeTint="99"/>
          <w:insideH w:val="nil"/>
          <w:insideV w:val="nil"/>
        </w:tcBorders>
        <w:shd w:val="clear" w:color="auto" w:fill="FFFFFF" w:themeFill="background1"/>
      </w:tcPr>
    </w:tblStylePr>
    <w:tblStylePr w:type="lastRow">
      <w:rPr>
        <w:b/>
        <w:bCs/>
      </w:rPr>
      <w:tblPr/>
      <w:tcPr>
        <w:tcBorders>
          <w:top w:val="double" w:sz="2" w:space="0" w:color="E7E7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GridTable2-Accent2">
    <w:name w:val="Grid Table 2 Accent 2"/>
    <w:basedOn w:val="TableNormal"/>
    <w:uiPriority w:val="47"/>
    <w:semiHidden/>
    <w:rsid w:val="00773A62"/>
    <w:pPr>
      <w:spacing w:after="0" w:line="240" w:lineRule="auto"/>
    </w:pPr>
    <w:tblPr>
      <w:tblStyleRowBandSize w:val="1"/>
      <w:tblStyleColBandSize w:val="1"/>
      <w:tblBorders>
        <w:top w:val="single" w:sz="2" w:space="0" w:color="C7C8CD" w:themeColor="accent2" w:themeTint="99"/>
        <w:bottom w:val="single" w:sz="2" w:space="0" w:color="C7C8CD" w:themeColor="accent2" w:themeTint="99"/>
        <w:insideH w:val="single" w:sz="2" w:space="0" w:color="C7C8CD" w:themeColor="accent2" w:themeTint="99"/>
        <w:insideV w:val="single" w:sz="2" w:space="0" w:color="C7C8CD" w:themeColor="accent2" w:themeTint="99"/>
      </w:tblBorders>
    </w:tblPr>
    <w:tblStylePr w:type="firstRow">
      <w:rPr>
        <w:b/>
        <w:bCs/>
      </w:rPr>
      <w:tblPr/>
      <w:tcPr>
        <w:tcBorders>
          <w:top w:val="nil"/>
          <w:bottom w:val="single" w:sz="12" w:space="0" w:color="C7C8CD" w:themeColor="accent2" w:themeTint="99"/>
          <w:insideH w:val="nil"/>
          <w:insideV w:val="nil"/>
        </w:tcBorders>
        <w:shd w:val="clear" w:color="auto" w:fill="FFFFFF" w:themeFill="background1"/>
      </w:tcPr>
    </w:tblStylePr>
    <w:tblStylePr w:type="lastRow">
      <w:rPr>
        <w:b/>
        <w:bCs/>
      </w:rPr>
      <w:tblPr/>
      <w:tcPr>
        <w:tcBorders>
          <w:top w:val="double" w:sz="2" w:space="0" w:color="C7C8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GridTable2-Accent3">
    <w:name w:val="Grid Table 2 Accent 3"/>
    <w:basedOn w:val="TableNormal"/>
    <w:uiPriority w:val="47"/>
    <w:semiHidden/>
    <w:rsid w:val="00773A62"/>
    <w:pPr>
      <w:spacing w:after="0" w:line="240" w:lineRule="auto"/>
    </w:pPr>
    <w:tblPr>
      <w:tblStyleRowBandSize w:val="1"/>
      <w:tblStyleColBandSize w:val="1"/>
      <w:tblBorders>
        <w:top w:val="single" w:sz="2" w:space="0" w:color="E6F0F7" w:themeColor="accent3" w:themeTint="99"/>
        <w:bottom w:val="single" w:sz="2" w:space="0" w:color="E6F0F7" w:themeColor="accent3" w:themeTint="99"/>
        <w:insideH w:val="single" w:sz="2" w:space="0" w:color="E6F0F7" w:themeColor="accent3" w:themeTint="99"/>
        <w:insideV w:val="single" w:sz="2" w:space="0" w:color="E6F0F7" w:themeColor="accent3" w:themeTint="99"/>
      </w:tblBorders>
    </w:tblPr>
    <w:tblStylePr w:type="firstRow">
      <w:rPr>
        <w:b/>
        <w:bCs/>
      </w:rPr>
      <w:tblPr/>
      <w:tcPr>
        <w:tcBorders>
          <w:top w:val="nil"/>
          <w:bottom w:val="single" w:sz="12" w:space="0" w:color="E6F0F7" w:themeColor="accent3" w:themeTint="99"/>
          <w:insideH w:val="nil"/>
          <w:insideV w:val="nil"/>
        </w:tcBorders>
        <w:shd w:val="clear" w:color="auto" w:fill="FFFFFF" w:themeFill="background1"/>
      </w:tcPr>
    </w:tblStylePr>
    <w:tblStylePr w:type="lastRow">
      <w:rPr>
        <w:b/>
        <w:bCs/>
      </w:rPr>
      <w:tblPr/>
      <w:tcPr>
        <w:tcBorders>
          <w:top w:val="double" w:sz="2" w:space="0" w:color="E6F0F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GridTable2-Accent4">
    <w:name w:val="Grid Table 2 Accent 4"/>
    <w:basedOn w:val="TableNormal"/>
    <w:uiPriority w:val="47"/>
    <w:semiHidden/>
    <w:rsid w:val="00773A62"/>
    <w:pPr>
      <w:spacing w:after="0" w:line="240" w:lineRule="auto"/>
    </w:pPr>
    <w:tblPr>
      <w:tblStyleRowBandSize w:val="1"/>
      <w:tblStyleColBandSize w:val="1"/>
      <w:tblBorders>
        <w:top w:val="single" w:sz="2" w:space="0" w:color="F5F9FC" w:themeColor="accent4" w:themeTint="99"/>
        <w:bottom w:val="single" w:sz="2" w:space="0" w:color="F5F9FC" w:themeColor="accent4" w:themeTint="99"/>
        <w:insideH w:val="single" w:sz="2" w:space="0" w:color="F5F9FC" w:themeColor="accent4" w:themeTint="99"/>
        <w:insideV w:val="single" w:sz="2" w:space="0" w:color="F5F9FC" w:themeColor="accent4" w:themeTint="99"/>
      </w:tblBorders>
    </w:tblPr>
    <w:tblStylePr w:type="firstRow">
      <w:rPr>
        <w:b/>
        <w:bCs/>
      </w:rPr>
      <w:tblPr/>
      <w:tcPr>
        <w:tcBorders>
          <w:top w:val="nil"/>
          <w:bottom w:val="single" w:sz="12" w:space="0" w:color="F5F9FC" w:themeColor="accent4" w:themeTint="99"/>
          <w:insideH w:val="nil"/>
          <w:insideV w:val="nil"/>
        </w:tcBorders>
        <w:shd w:val="clear" w:color="auto" w:fill="FFFFFF" w:themeFill="background1"/>
      </w:tcPr>
    </w:tblStylePr>
    <w:tblStylePr w:type="lastRow">
      <w:rPr>
        <w:b/>
        <w:bCs/>
      </w:rPr>
      <w:tblPr/>
      <w:tcPr>
        <w:tcBorders>
          <w:top w:val="double" w:sz="2" w:space="0" w:color="F5F9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GridTable2-Accent5">
    <w:name w:val="Grid Table 2 Accent 5"/>
    <w:basedOn w:val="TableNormal"/>
    <w:uiPriority w:val="47"/>
    <w:semiHidden/>
    <w:rsid w:val="00773A62"/>
    <w:pPr>
      <w:spacing w:after="0" w:line="240" w:lineRule="auto"/>
    </w:pPr>
    <w:tblPr>
      <w:tblStyleRowBandSize w:val="1"/>
      <w:tblStyleColBandSize w:val="1"/>
      <w:tblBorders>
        <w:top w:val="single" w:sz="2" w:space="0" w:color="E0F2F0" w:themeColor="accent5" w:themeTint="99"/>
        <w:bottom w:val="single" w:sz="2" w:space="0" w:color="E0F2F0" w:themeColor="accent5" w:themeTint="99"/>
        <w:insideH w:val="single" w:sz="2" w:space="0" w:color="E0F2F0" w:themeColor="accent5" w:themeTint="99"/>
        <w:insideV w:val="single" w:sz="2" w:space="0" w:color="E0F2F0" w:themeColor="accent5" w:themeTint="99"/>
      </w:tblBorders>
    </w:tblPr>
    <w:tblStylePr w:type="firstRow">
      <w:rPr>
        <w:b/>
        <w:bCs/>
      </w:rPr>
      <w:tblPr/>
      <w:tcPr>
        <w:tcBorders>
          <w:top w:val="nil"/>
          <w:bottom w:val="single" w:sz="12" w:space="0" w:color="E0F2F0" w:themeColor="accent5" w:themeTint="99"/>
          <w:insideH w:val="nil"/>
          <w:insideV w:val="nil"/>
        </w:tcBorders>
        <w:shd w:val="clear" w:color="auto" w:fill="FFFFFF" w:themeFill="background1"/>
      </w:tcPr>
    </w:tblStylePr>
    <w:tblStylePr w:type="lastRow">
      <w:rPr>
        <w:b/>
        <w:bCs/>
      </w:rPr>
      <w:tblPr/>
      <w:tcPr>
        <w:tcBorders>
          <w:top w:val="double" w:sz="2" w:space="0" w:color="E0F2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GridTable2-Accent6">
    <w:name w:val="Grid Table 2 Accent 6"/>
    <w:basedOn w:val="TableNormal"/>
    <w:uiPriority w:val="47"/>
    <w:semiHidden/>
    <w:rsid w:val="00773A62"/>
    <w:pPr>
      <w:spacing w:after="0" w:line="240" w:lineRule="auto"/>
    </w:pPr>
    <w:tblPr>
      <w:tblStyleRowBandSize w:val="1"/>
      <w:tblStyleColBandSize w:val="1"/>
      <w:tblBorders>
        <w:top w:val="single" w:sz="2" w:space="0" w:color="96A0AC" w:themeColor="accent6" w:themeTint="99"/>
        <w:bottom w:val="single" w:sz="2" w:space="0" w:color="96A0AC" w:themeColor="accent6" w:themeTint="99"/>
        <w:insideH w:val="single" w:sz="2" w:space="0" w:color="96A0AC" w:themeColor="accent6" w:themeTint="99"/>
        <w:insideV w:val="single" w:sz="2" w:space="0" w:color="96A0AC" w:themeColor="accent6" w:themeTint="99"/>
      </w:tblBorders>
    </w:tblPr>
    <w:tblStylePr w:type="firstRow">
      <w:rPr>
        <w:b/>
        <w:bCs/>
      </w:rPr>
      <w:tblPr/>
      <w:tcPr>
        <w:tcBorders>
          <w:top w:val="nil"/>
          <w:bottom w:val="single" w:sz="12" w:space="0" w:color="96A0AC" w:themeColor="accent6" w:themeTint="99"/>
          <w:insideH w:val="nil"/>
          <w:insideV w:val="nil"/>
        </w:tcBorders>
        <w:shd w:val="clear" w:color="auto" w:fill="FFFFFF" w:themeFill="background1"/>
      </w:tcPr>
    </w:tblStylePr>
    <w:tblStylePr w:type="lastRow">
      <w:rPr>
        <w:b/>
        <w:bCs/>
      </w:rPr>
      <w:tblPr/>
      <w:tcPr>
        <w:tcBorders>
          <w:top w:val="double" w:sz="2" w:space="0" w:color="96A0A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GridTable3">
    <w:name w:val="Grid Table 3"/>
    <w:basedOn w:val="TableNormal"/>
    <w:uiPriority w:val="48"/>
    <w:semiHidden/>
    <w:rsid w:val="00773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3A62"/>
    <w:pPr>
      <w:spacing w:after="0" w:line="240" w:lineRule="auto"/>
    </w:p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1" w:themeFillTint="33"/>
      </w:tcPr>
    </w:tblStylePr>
    <w:tblStylePr w:type="band1Horz">
      <w:tblPr/>
      <w:tcPr>
        <w:shd w:val="clear" w:color="auto" w:fill="F7F7F7" w:themeFill="accent1" w:themeFillTint="33"/>
      </w:tcPr>
    </w:tblStylePr>
    <w:tblStylePr w:type="neCell">
      <w:tblPr/>
      <w:tcPr>
        <w:tcBorders>
          <w:bottom w:val="single" w:sz="4" w:space="0" w:color="E7E7E7" w:themeColor="accent1" w:themeTint="99"/>
        </w:tcBorders>
      </w:tcPr>
    </w:tblStylePr>
    <w:tblStylePr w:type="nwCell">
      <w:tblPr/>
      <w:tcPr>
        <w:tcBorders>
          <w:bottom w:val="single" w:sz="4" w:space="0" w:color="E7E7E7" w:themeColor="accent1" w:themeTint="99"/>
        </w:tcBorders>
      </w:tcPr>
    </w:tblStylePr>
    <w:tblStylePr w:type="seCell">
      <w:tblPr/>
      <w:tcPr>
        <w:tcBorders>
          <w:top w:val="single" w:sz="4" w:space="0" w:color="E7E7E7" w:themeColor="accent1" w:themeTint="99"/>
        </w:tcBorders>
      </w:tcPr>
    </w:tblStylePr>
    <w:tblStylePr w:type="swCell">
      <w:tblPr/>
      <w:tcPr>
        <w:tcBorders>
          <w:top w:val="single" w:sz="4" w:space="0" w:color="E7E7E7" w:themeColor="accent1" w:themeTint="99"/>
        </w:tcBorders>
      </w:tcPr>
    </w:tblStylePr>
  </w:style>
  <w:style w:type="table" w:styleId="GridTable3-Accent2">
    <w:name w:val="Grid Table 3 Accent 2"/>
    <w:basedOn w:val="TableNormal"/>
    <w:uiPriority w:val="48"/>
    <w:semiHidden/>
    <w:rsid w:val="00773A62"/>
    <w:pPr>
      <w:spacing w:after="0" w:line="240" w:lineRule="auto"/>
    </w:p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E" w:themeFill="accent2" w:themeFillTint="33"/>
      </w:tcPr>
    </w:tblStylePr>
    <w:tblStylePr w:type="band1Horz">
      <w:tblPr/>
      <w:tcPr>
        <w:shd w:val="clear" w:color="auto" w:fill="ECECEE" w:themeFill="accent2" w:themeFillTint="33"/>
      </w:tcPr>
    </w:tblStylePr>
    <w:tblStylePr w:type="neCell">
      <w:tblPr/>
      <w:tcPr>
        <w:tcBorders>
          <w:bottom w:val="single" w:sz="4" w:space="0" w:color="C7C8CD" w:themeColor="accent2" w:themeTint="99"/>
        </w:tcBorders>
      </w:tcPr>
    </w:tblStylePr>
    <w:tblStylePr w:type="nwCell">
      <w:tblPr/>
      <w:tcPr>
        <w:tcBorders>
          <w:bottom w:val="single" w:sz="4" w:space="0" w:color="C7C8CD" w:themeColor="accent2" w:themeTint="99"/>
        </w:tcBorders>
      </w:tcPr>
    </w:tblStylePr>
    <w:tblStylePr w:type="seCell">
      <w:tblPr/>
      <w:tcPr>
        <w:tcBorders>
          <w:top w:val="single" w:sz="4" w:space="0" w:color="C7C8CD" w:themeColor="accent2" w:themeTint="99"/>
        </w:tcBorders>
      </w:tcPr>
    </w:tblStylePr>
    <w:tblStylePr w:type="swCell">
      <w:tblPr/>
      <w:tcPr>
        <w:tcBorders>
          <w:top w:val="single" w:sz="4" w:space="0" w:color="C7C8CD" w:themeColor="accent2" w:themeTint="99"/>
        </w:tcBorders>
      </w:tcPr>
    </w:tblStylePr>
  </w:style>
  <w:style w:type="table" w:styleId="GridTable3-Accent3">
    <w:name w:val="Grid Table 3 Accent 3"/>
    <w:basedOn w:val="TableNormal"/>
    <w:uiPriority w:val="48"/>
    <w:semiHidden/>
    <w:rsid w:val="00773A62"/>
    <w:pPr>
      <w:spacing w:after="0" w:line="240" w:lineRule="auto"/>
    </w:p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AFC" w:themeFill="accent3" w:themeFillTint="33"/>
      </w:tcPr>
    </w:tblStylePr>
    <w:tblStylePr w:type="band1Horz">
      <w:tblPr/>
      <w:tcPr>
        <w:shd w:val="clear" w:color="auto" w:fill="F6FAFC" w:themeFill="accent3" w:themeFillTint="33"/>
      </w:tcPr>
    </w:tblStylePr>
    <w:tblStylePr w:type="neCell">
      <w:tblPr/>
      <w:tcPr>
        <w:tcBorders>
          <w:bottom w:val="single" w:sz="4" w:space="0" w:color="E6F0F7" w:themeColor="accent3" w:themeTint="99"/>
        </w:tcBorders>
      </w:tcPr>
    </w:tblStylePr>
    <w:tblStylePr w:type="nwCell">
      <w:tblPr/>
      <w:tcPr>
        <w:tcBorders>
          <w:bottom w:val="single" w:sz="4" w:space="0" w:color="E6F0F7" w:themeColor="accent3" w:themeTint="99"/>
        </w:tcBorders>
      </w:tcPr>
    </w:tblStylePr>
    <w:tblStylePr w:type="seCell">
      <w:tblPr/>
      <w:tcPr>
        <w:tcBorders>
          <w:top w:val="single" w:sz="4" w:space="0" w:color="E6F0F7" w:themeColor="accent3" w:themeTint="99"/>
        </w:tcBorders>
      </w:tcPr>
    </w:tblStylePr>
    <w:tblStylePr w:type="swCell">
      <w:tblPr/>
      <w:tcPr>
        <w:tcBorders>
          <w:top w:val="single" w:sz="4" w:space="0" w:color="E6F0F7" w:themeColor="accent3" w:themeTint="99"/>
        </w:tcBorders>
      </w:tcPr>
    </w:tblStylePr>
  </w:style>
  <w:style w:type="table" w:styleId="GridTable3-Accent4">
    <w:name w:val="Grid Table 3 Accent 4"/>
    <w:basedOn w:val="TableNormal"/>
    <w:uiPriority w:val="48"/>
    <w:semiHidden/>
    <w:rsid w:val="00773A62"/>
    <w:pPr>
      <w:spacing w:after="0" w:line="240" w:lineRule="auto"/>
    </w:p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DFE" w:themeFill="accent4" w:themeFillTint="33"/>
      </w:tcPr>
    </w:tblStylePr>
    <w:tblStylePr w:type="band1Horz">
      <w:tblPr/>
      <w:tcPr>
        <w:shd w:val="clear" w:color="auto" w:fill="FBFDFE" w:themeFill="accent4" w:themeFillTint="33"/>
      </w:tcPr>
    </w:tblStylePr>
    <w:tblStylePr w:type="neCell">
      <w:tblPr/>
      <w:tcPr>
        <w:tcBorders>
          <w:bottom w:val="single" w:sz="4" w:space="0" w:color="F5F9FC" w:themeColor="accent4" w:themeTint="99"/>
        </w:tcBorders>
      </w:tcPr>
    </w:tblStylePr>
    <w:tblStylePr w:type="nwCell">
      <w:tblPr/>
      <w:tcPr>
        <w:tcBorders>
          <w:bottom w:val="single" w:sz="4" w:space="0" w:color="F5F9FC" w:themeColor="accent4" w:themeTint="99"/>
        </w:tcBorders>
      </w:tcPr>
    </w:tblStylePr>
    <w:tblStylePr w:type="seCell">
      <w:tblPr/>
      <w:tcPr>
        <w:tcBorders>
          <w:top w:val="single" w:sz="4" w:space="0" w:color="F5F9FC" w:themeColor="accent4" w:themeTint="99"/>
        </w:tcBorders>
      </w:tcPr>
    </w:tblStylePr>
    <w:tblStylePr w:type="swCell">
      <w:tblPr/>
      <w:tcPr>
        <w:tcBorders>
          <w:top w:val="single" w:sz="4" w:space="0" w:color="F5F9FC" w:themeColor="accent4" w:themeTint="99"/>
        </w:tcBorders>
      </w:tcPr>
    </w:tblStylePr>
  </w:style>
  <w:style w:type="table" w:styleId="GridTable3-Accent5">
    <w:name w:val="Grid Table 3 Accent 5"/>
    <w:basedOn w:val="TableNormal"/>
    <w:uiPriority w:val="48"/>
    <w:semiHidden/>
    <w:rsid w:val="00773A62"/>
    <w:pPr>
      <w:spacing w:after="0" w:line="240" w:lineRule="auto"/>
    </w:p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9" w:themeFill="accent5" w:themeFillTint="33"/>
      </w:tcPr>
    </w:tblStylePr>
    <w:tblStylePr w:type="band1Horz">
      <w:tblPr/>
      <w:tcPr>
        <w:shd w:val="clear" w:color="auto" w:fill="F4FAF9" w:themeFill="accent5" w:themeFillTint="33"/>
      </w:tcPr>
    </w:tblStylePr>
    <w:tblStylePr w:type="neCell">
      <w:tblPr/>
      <w:tcPr>
        <w:tcBorders>
          <w:bottom w:val="single" w:sz="4" w:space="0" w:color="E0F2F0" w:themeColor="accent5" w:themeTint="99"/>
        </w:tcBorders>
      </w:tcPr>
    </w:tblStylePr>
    <w:tblStylePr w:type="nwCell">
      <w:tblPr/>
      <w:tcPr>
        <w:tcBorders>
          <w:bottom w:val="single" w:sz="4" w:space="0" w:color="E0F2F0" w:themeColor="accent5" w:themeTint="99"/>
        </w:tcBorders>
      </w:tcPr>
    </w:tblStylePr>
    <w:tblStylePr w:type="seCell">
      <w:tblPr/>
      <w:tcPr>
        <w:tcBorders>
          <w:top w:val="single" w:sz="4" w:space="0" w:color="E0F2F0" w:themeColor="accent5" w:themeTint="99"/>
        </w:tcBorders>
      </w:tcPr>
    </w:tblStylePr>
    <w:tblStylePr w:type="swCell">
      <w:tblPr/>
      <w:tcPr>
        <w:tcBorders>
          <w:top w:val="single" w:sz="4" w:space="0" w:color="E0F2F0" w:themeColor="accent5" w:themeTint="99"/>
        </w:tcBorders>
      </w:tcPr>
    </w:tblStylePr>
  </w:style>
  <w:style w:type="table" w:styleId="GridTable3-Accent6">
    <w:name w:val="Grid Table 3 Accent 6"/>
    <w:basedOn w:val="TableNormal"/>
    <w:uiPriority w:val="48"/>
    <w:semiHidden/>
    <w:rsid w:val="00773A62"/>
    <w:pPr>
      <w:spacing w:after="0" w:line="240" w:lineRule="auto"/>
    </w:p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FE3" w:themeFill="accent6" w:themeFillTint="33"/>
      </w:tcPr>
    </w:tblStylePr>
    <w:tblStylePr w:type="band1Horz">
      <w:tblPr/>
      <w:tcPr>
        <w:shd w:val="clear" w:color="auto" w:fill="DCDFE3" w:themeFill="accent6" w:themeFillTint="33"/>
      </w:tcPr>
    </w:tblStylePr>
    <w:tblStylePr w:type="neCell">
      <w:tblPr/>
      <w:tcPr>
        <w:tcBorders>
          <w:bottom w:val="single" w:sz="4" w:space="0" w:color="96A0AC" w:themeColor="accent6" w:themeTint="99"/>
        </w:tcBorders>
      </w:tcPr>
    </w:tblStylePr>
    <w:tblStylePr w:type="nwCell">
      <w:tblPr/>
      <w:tcPr>
        <w:tcBorders>
          <w:bottom w:val="single" w:sz="4" w:space="0" w:color="96A0AC" w:themeColor="accent6" w:themeTint="99"/>
        </w:tcBorders>
      </w:tcPr>
    </w:tblStylePr>
    <w:tblStylePr w:type="seCell">
      <w:tblPr/>
      <w:tcPr>
        <w:tcBorders>
          <w:top w:val="single" w:sz="4" w:space="0" w:color="96A0AC" w:themeColor="accent6" w:themeTint="99"/>
        </w:tcBorders>
      </w:tcPr>
    </w:tblStylePr>
    <w:tblStylePr w:type="swCell">
      <w:tblPr/>
      <w:tcPr>
        <w:tcBorders>
          <w:top w:val="single" w:sz="4" w:space="0" w:color="96A0AC" w:themeColor="accent6" w:themeTint="99"/>
        </w:tcBorders>
      </w:tcPr>
    </w:tblStylePr>
  </w:style>
  <w:style w:type="table" w:styleId="GridTable4">
    <w:name w:val="Grid Table 4"/>
    <w:basedOn w:val="TableNormal"/>
    <w:uiPriority w:val="49"/>
    <w:semiHidden/>
    <w:rsid w:val="00773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3A62"/>
    <w:pPr>
      <w:spacing w:after="0" w:line="240" w:lineRule="auto"/>
    </w:p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color w:val="FFFFFF" w:themeColor="background1"/>
      </w:rPr>
      <w:tblPr/>
      <w:tcPr>
        <w:tcBorders>
          <w:top w:val="single" w:sz="4" w:space="0" w:color="D8D8D8" w:themeColor="accent1"/>
          <w:left w:val="single" w:sz="4" w:space="0" w:color="D8D8D8" w:themeColor="accent1"/>
          <w:bottom w:val="single" w:sz="4" w:space="0" w:color="D8D8D8" w:themeColor="accent1"/>
          <w:right w:val="single" w:sz="4" w:space="0" w:color="D8D8D8" w:themeColor="accent1"/>
          <w:insideH w:val="nil"/>
          <w:insideV w:val="nil"/>
        </w:tcBorders>
        <w:shd w:val="clear" w:color="auto" w:fill="D8D8D8" w:themeFill="accent1"/>
      </w:tcPr>
    </w:tblStylePr>
    <w:tblStylePr w:type="lastRow">
      <w:rPr>
        <w:b/>
        <w:bCs/>
      </w:rPr>
      <w:tblPr/>
      <w:tcPr>
        <w:tcBorders>
          <w:top w:val="double" w:sz="4" w:space="0" w:color="D8D8D8" w:themeColor="accent1"/>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GridTable4-Accent2">
    <w:name w:val="Grid Table 4 Accent 2"/>
    <w:basedOn w:val="TableNormal"/>
    <w:uiPriority w:val="49"/>
    <w:semiHidden/>
    <w:rsid w:val="00773A62"/>
    <w:pPr>
      <w:spacing w:after="0" w:line="240" w:lineRule="auto"/>
    </w:p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color w:val="FFFFFF" w:themeColor="background1"/>
      </w:rPr>
      <w:tblPr/>
      <w:tcPr>
        <w:tcBorders>
          <w:top w:val="single" w:sz="4" w:space="0" w:color="A2A5AD" w:themeColor="accent2"/>
          <w:left w:val="single" w:sz="4" w:space="0" w:color="A2A5AD" w:themeColor="accent2"/>
          <w:bottom w:val="single" w:sz="4" w:space="0" w:color="A2A5AD" w:themeColor="accent2"/>
          <w:right w:val="single" w:sz="4" w:space="0" w:color="A2A5AD" w:themeColor="accent2"/>
          <w:insideH w:val="nil"/>
          <w:insideV w:val="nil"/>
        </w:tcBorders>
        <w:shd w:val="clear" w:color="auto" w:fill="A2A5AD" w:themeFill="accent2"/>
      </w:tcPr>
    </w:tblStylePr>
    <w:tblStylePr w:type="lastRow">
      <w:rPr>
        <w:b/>
        <w:bCs/>
      </w:rPr>
      <w:tblPr/>
      <w:tcPr>
        <w:tcBorders>
          <w:top w:val="double" w:sz="4" w:space="0" w:color="A2A5AD" w:themeColor="accent2"/>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GridTable4-Accent3">
    <w:name w:val="Grid Table 4 Accent 3"/>
    <w:basedOn w:val="TableNormal"/>
    <w:uiPriority w:val="49"/>
    <w:semiHidden/>
    <w:rsid w:val="00773A62"/>
    <w:pPr>
      <w:spacing w:after="0" w:line="240" w:lineRule="auto"/>
    </w:p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color w:val="FFFFFF" w:themeColor="background1"/>
      </w:rPr>
      <w:tblPr/>
      <w:tcPr>
        <w:tcBorders>
          <w:top w:val="single" w:sz="4" w:space="0" w:color="D6E7F2" w:themeColor="accent3"/>
          <w:left w:val="single" w:sz="4" w:space="0" w:color="D6E7F2" w:themeColor="accent3"/>
          <w:bottom w:val="single" w:sz="4" w:space="0" w:color="D6E7F2" w:themeColor="accent3"/>
          <w:right w:val="single" w:sz="4" w:space="0" w:color="D6E7F2" w:themeColor="accent3"/>
          <w:insideH w:val="nil"/>
          <w:insideV w:val="nil"/>
        </w:tcBorders>
        <w:shd w:val="clear" w:color="auto" w:fill="D6E7F2" w:themeFill="accent3"/>
      </w:tcPr>
    </w:tblStylePr>
    <w:tblStylePr w:type="lastRow">
      <w:rPr>
        <w:b/>
        <w:bCs/>
      </w:rPr>
      <w:tblPr/>
      <w:tcPr>
        <w:tcBorders>
          <w:top w:val="double" w:sz="4" w:space="0" w:color="D6E7F2" w:themeColor="accent3"/>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GridTable4-Accent4">
    <w:name w:val="Grid Table 4 Accent 4"/>
    <w:basedOn w:val="TableNormal"/>
    <w:uiPriority w:val="49"/>
    <w:semiHidden/>
    <w:rsid w:val="00773A62"/>
    <w:pPr>
      <w:spacing w:after="0" w:line="240" w:lineRule="auto"/>
    </w:p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color w:val="FFFFFF" w:themeColor="background1"/>
      </w:rPr>
      <w:tblPr/>
      <w:tcPr>
        <w:tcBorders>
          <w:top w:val="single" w:sz="4" w:space="0" w:color="EFF6FA" w:themeColor="accent4"/>
          <w:left w:val="single" w:sz="4" w:space="0" w:color="EFF6FA" w:themeColor="accent4"/>
          <w:bottom w:val="single" w:sz="4" w:space="0" w:color="EFF6FA" w:themeColor="accent4"/>
          <w:right w:val="single" w:sz="4" w:space="0" w:color="EFF6FA" w:themeColor="accent4"/>
          <w:insideH w:val="nil"/>
          <w:insideV w:val="nil"/>
        </w:tcBorders>
        <w:shd w:val="clear" w:color="auto" w:fill="EFF6FA" w:themeFill="accent4"/>
      </w:tcPr>
    </w:tblStylePr>
    <w:tblStylePr w:type="lastRow">
      <w:rPr>
        <w:b/>
        <w:bCs/>
      </w:rPr>
      <w:tblPr/>
      <w:tcPr>
        <w:tcBorders>
          <w:top w:val="double" w:sz="4" w:space="0" w:color="EFF6FA" w:themeColor="accent4"/>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GridTable4-Accent5">
    <w:name w:val="Grid Table 4 Accent 5"/>
    <w:basedOn w:val="TableNormal"/>
    <w:uiPriority w:val="49"/>
    <w:semiHidden/>
    <w:rsid w:val="00773A62"/>
    <w:pPr>
      <w:spacing w:after="0" w:line="240" w:lineRule="auto"/>
    </w:p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color w:val="FFFFFF" w:themeColor="background1"/>
      </w:rPr>
      <w:tblPr/>
      <w:tcPr>
        <w:tcBorders>
          <w:top w:val="single" w:sz="4" w:space="0" w:color="CCEAE6" w:themeColor="accent5"/>
          <w:left w:val="single" w:sz="4" w:space="0" w:color="CCEAE6" w:themeColor="accent5"/>
          <w:bottom w:val="single" w:sz="4" w:space="0" w:color="CCEAE6" w:themeColor="accent5"/>
          <w:right w:val="single" w:sz="4" w:space="0" w:color="CCEAE6" w:themeColor="accent5"/>
          <w:insideH w:val="nil"/>
          <w:insideV w:val="nil"/>
        </w:tcBorders>
        <w:shd w:val="clear" w:color="auto" w:fill="CCEAE6" w:themeFill="accent5"/>
      </w:tcPr>
    </w:tblStylePr>
    <w:tblStylePr w:type="lastRow">
      <w:rPr>
        <w:b/>
        <w:bCs/>
      </w:rPr>
      <w:tblPr/>
      <w:tcPr>
        <w:tcBorders>
          <w:top w:val="double" w:sz="4" w:space="0" w:color="CCEAE6" w:themeColor="accent5"/>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GridTable4-Accent6">
    <w:name w:val="Grid Table 4 Accent 6"/>
    <w:basedOn w:val="TableNormal"/>
    <w:uiPriority w:val="49"/>
    <w:semiHidden/>
    <w:rsid w:val="00773A62"/>
    <w:pPr>
      <w:spacing w:after="0" w:line="240" w:lineRule="auto"/>
    </w:p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color w:val="FFFFFF" w:themeColor="background1"/>
      </w:rPr>
      <w:tblPr/>
      <w:tcPr>
        <w:tcBorders>
          <w:top w:val="single" w:sz="4" w:space="0" w:color="57626E" w:themeColor="accent6"/>
          <w:left w:val="single" w:sz="4" w:space="0" w:color="57626E" w:themeColor="accent6"/>
          <w:bottom w:val="single" w:sz="4" w:space="0" w:color="57626E" w:themeColor="accent6"/>
          <w:right w:val="single" w:sz="4" w:space="0" w:color="57626E" w:themeColor="accent6"/>
          <w:insideH w:val="nil"/>
          <w:insideV w:val="nil"/>
        </w:tcBorders>
        <w:shd w:val="clear" w:color="auto" w:fill="57626E" w:themeFill="accent6"/>
      </w:tcPr>
    </w:tblStylePr>
    <w:tblStylePr w:type="lastRow">
      <w:rPr>
        <w:b/>
        <w:bCs/>
      </w:rPr>
      <w:tblPr/>
      <w:tcPr>
        <w:tcBorders>
          <w:top w:val="double" w:sz="4" w:space="0" w:color="57626E" w:themeColor="accent6"/>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GridTable5Dark">
    <w:name w:val="Grid Table 5 Dark"/>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1"/>
      </w:tcPr>
    </w:tblStylePr>
    <w:tblStylePr w:type="band1Vert">
      <w:tblPr/>
      <w:tcPr>
        <w:shd w:val="clear" w:color="auto" w:fill="EFEFEF" w:themeFill="accent1" w:themeFillTint="66"/>
      </w:tcPr>
    </w:tblStylePr>
    <w:tblStylePr w:type="band1Horz">
      <w:tblPr/>
      <w:tcPr>
        <w:shd w:val="clear" w:color="auto" w:fill="EFEFEF" w:themeFill="accent1" w:themeFillTint="66"/>
      </w:tcPr>
    </w:tblStylePr>
  </w:style>
  <w:style w:type="table" w:styleId="GridTable5Dark-Accent2">
    <w:name w:val="Grid Table 5 Dark Accent 2"/>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C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A5A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A5A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A5A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A5AD" w:themeFill="accent2"/>
      </w:tcPr>
    </w:tblStylePr>
    <w:tblStylePr w:type="band1Vert">
      <w:tblPr/>
      <w:tcPr>
        <w:shd w:val="clear" w:color="auto" w:fill="D9DADE" w:themeFill="accent2" w:themeFillTint="66"/>
      </w:tcPr>
    </w:tblStylePr>
    <w:tblStylePr w:type="band1Horz">
      <w:tblPr/>
      <w:tcPr>
        <w:shd w:val="clear" w:color="auto" w:fill="D9DADE" w:themeFill="accent2" w:themeFillTint="66"/>
      </w:tcPr>
    </w:tblStylePr>
  </w:style>
  <w:style w:type="table" w:styleId="GridTable5Dark-Accent3">
    <w:name w:val="Grid Table 5 Dark Accent 3"/>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A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E7F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E7F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E7F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E7F2" w:themeFill="accent3"/>
      </w:tcPr>
    </w:tblStylePr>
    <w:tblStylePr w:type="band1Vert">
      <w:tblPr/>
      <w:tcPr>
        <w:shd w:val="clear" w:color="auto" w:fill="EEF5F9" w:themeFill="accent3" w:themeFillTint="66"/>
      </w:tcPr>
    </w:tblStylePr>
    <w:tblStylePr w:type="band1Horz">
      <w:tblPr/>
      <w:tcPr>
        <w:shd w:val="clear" w:color="auto" w:fill="EEF5F9" w:themeFill="accent3" w:themeFillTint="66"/>
      </w:tcPr>
    </w:tblStylePr>
  </w:style>
  <w:style w:type="table" w:styleId="GridTable5Dark-Accent4">
    <w:name w:val="Grid Table 5 Dark Accent 4"/>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D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F6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F6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F6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F6FA" w:themeFill="accent4"/>
      </w:tcPr>
    </w:tblStylePr>
    <w:tblStylePr w:type="band1Vert">
      <w:tblPr/>
      <w:tcPr>
        <w:shd w:val="clear" w:color="auto" w:fill="F8FBFD" w:themeFill="accent4" w:themeFillTint="66"/>
      </w:tcPr>
    </w:tblStylePr>
    <w:tblStylePr w:type="band1Horz">
      <w:tblPr/>
      <w:tcPr>
        <w:shd w:val="clear" w:color="auto" w:fill="F8FBFD" w:themeFill="accent4" w:themeFillTint="66"/>
      </w:tcPr>
    </w:tblStylePr>
  </w:style>
  <w:style w:type="table" w:styleId="GridTable5Dark-Accent5">
    <w:name w:val="Grid Table 5 Dark Accent 5"/>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EA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EA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EA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EAE6" w:themeFill="accent5"/>
      </w:tcPr>
    </w:tblStylePr>
    <w:tblStylePr w:type="band1Vert">
      <w:tblPr/>
      <w:tcPr>
        <w:shd w:val="clear" w:color="auto" w:fill="EAF6F5" w:themeFill="accent5" w:themeFillTint="66"/>
      </w:tcPr>
    </w:tblStylePr>
    <w:tblStylePr w:type="band1Horz">
      <w:tblPr/>
      <w:tcPr>
        <w:shd w:val="clear" w:color="auto" w:fill="EAF6F5" w:themeFill="accent5" w:themeFillTint="66"/>
      </w:tcPr>
    </w:tblStylePr>
  </w:style>
  <w:style w:type="table" w:styleId="GridTable5Dark-Accent6">
    <w:name w:val="Grid Table 5 Dark Accent 6"/>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F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626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626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626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626E" w:themeFill="accent6"/>
      </w:tcPr>
    </w:tblStylePr>
    <w:tblStylePr w:type="band1Vert">
      <w:tblPr/>
      <w:tcPr>
        <w:shd w:val="clear" w:color="auto" w:fill="B9BFC7" w:themeFill="accent6" w:themeFillTint="66"/>
      </w:tcPr>
    </w:tblStylePr>
    <w:tblStylePr w:type="band1Horz">
      <w:tblPr/>
      <w:tcPr>
        <w:shd w:val="clear" w:color="auto" w:fill="B9BFC7" w:themeFill="accent6" w:themeFillTint="66"/>
      </w:tcPr>
    </w:tblStylePr>
  </w:style>
  <w:style w:type="table" w:styleId="GridTable6Colorful">
    <w:name w:val="Grid Table 6 Colorful"/>
    <w:basedOn w:val="TableNormal"/>
    <w:uiPriority w:val="51"/>
    <w:semiHidden/>
    <w:rsid w:val="00773A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3A62"/>
    <w:pPr>
      <w:spacing w:after="0" w:line="240" w:lineRule="auto"/>
    </w:pPr>
    <w:rPr>
      <w:color w:val="A1A1A1" w:themeColor="accent1" w:themeShade="BF"/>
    </w:r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rPr>
      <w:tblPr/>
      <w:tcPr>
        <w:tcBorders>
          <w:bottom w:val="single" w:sz="12" w:space="0" w:color="E7E7E7" w:themeColor="accent1" w:themeTint="99"/>
        </w:tcBorders>
      </w:tcPr>
    </w:tblStylePr>
    <w:tblStylePr w:type="lastRow">
      <w:rPr>
        <w:b/>
        <w:bCs/>
      </w:rPr>
      <w:tblPr/>
      <w:tcPr>
        <w:tcBorders>
          <w:top w:val="double" w:sz="4" w:space="0" w:color="E7E7E7" w:themeColor="accent1" w:themeTint="99"/>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GridTable6Colorful-Accent2">
    <w:name w:val="Grid Table 6 Colorful Accent 2"/>
    <w:basedOn w:val="TableNormal"/>
    <w:uiPriority w:val="51"/>
    <w:semiHidden/>
    <w:rsid w:val="00773A62"/>
    <w:pPr>
      <w:spacing w:after="0" w:line="240" w:lineRule="auto"/>
    </w:pPr>
    <w:rPr>
      <w:color w:val="757985" w:themeColor="accent2" w:themeShade="BF"/>
    </w:r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rPr>
      <w:tblPr/>
      <w:tcPr>
        <w:tcBorders>
          <w:bottom w:val="single" w:sz="12" w:space="0" w:color="C7C8CD" w:themeColor="accent2" w:themeTint="99"/>
        </w:tcBorders>
      </w:tcPr>
    </w:tblStylePr>
    <w:tblStylePr w:type="lastRow">
      <w:rPr>
        <w:b/>
        <w:bCs/>
      </w:rPr>
      <w:tblPr/>
      <w:tcPr>
        <w:tcBorders>
          <w:top w:val="double" w:sz="4" w:space="0" w:color="C7C8CD" w:themeColor="accent2" w:themeTint="99"/>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GridTable6Colorful-Accent3">
    <w:name w:val="Grid Table 6 Colorful Accent 3"/>
    <w:basedOn w:val="TableNormal"/>
    <w:uiPriority w:val="51"/>
    <w:semiHidden/>
    <w:rsid w:val="00773A62"/>
    <w:pPr>
      <w:spacing w:after="0" w:line="240" w:lineRule="auto"/>
    </w:pPr>
    <w:rPr>
      <w:color w:val="7EB3D6" w:themeColor="accent3" w:themeShade="BF"/>
    </w:r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rPr>
      <w:tblPr/>
      <w:tcPr>
        <w:tcBorders>
          <w:bottom w:val="single" w:sz="12" w:space="0" w:color="E6F0F7" w:themeColor="accent3" w:themeTint="99"/>
        </w:tcBorders>
      </w:tcPr>
    </w:tblStylePr>
    <w:tblStylePr w:type="lastRow">
      <w:rPr>
        <w:b/>
        <w:bCs/>
      </w:rPr>
      <w:tblPr/>
      <w:tcPr>
        <w:tcBorders>
          <w:top w:val="double" w:sz="4" w:space="0" w:color="E6F0F7" w:themeColor="accent3" w:themeTint="99"/>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GridTable6Colorful-Accent4">
    <w:name w:val="Grid Table 6 Colorful Accent 4"/>
    <w:basedOn w:val="TableNormal"/>
    <w:uiPriority w:val="51"/>
    <w:semiHidden/>
    <w:rsid w:val="00773A62"/>
    <w:pPr>
      <w:spacing w:after="0" w:line="240" w:lineRule="auto"/>
    </w:pPr>
    <w:rPr>
      <w:color w:val="91C1DC" w:themeColor="accent4" w:themeShade="BF"/>
    </w:r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rPr>
      <w:tblPr/>
      <w:tcPr>
        <w:tcBorders>
          <w:bottom w:val="single" w:sz="12" w:space="0" w:color="F5F9FC" w:themeColor="accent4" w:themeTint="99"/>
        </w:tcBorders>
      </w:tcPr>
    </w:tblStylePr>
    <w:tblStylePr w:type="lastRow">
      <w:rPr>
        <w:b/>
        <w:bCs/>
      </w:rPr>
      <w:tblPr/>
      <w:tcPr>
        <w:tcBorders>
          <w:top w:val="double" w:sz="4" w:space="0" w:color="F5F9FC" w:themeColor="accent4" w:themeTint="99"/>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GridTable6Colorful-Accent5">
    <w:name w:val="Grid Table 6 Colorful Accent 5"/>
    <w:basedOn w:val="TableNormal"/>
    <w:uiPriority w:val="51"/>
    <w:semiHidden/>
    <w:rsid w:val="00773A62"/>
    <w:pPr>
      <w:spacing w:after="0" w:line="240" w:lineRule="auto"/>
    </w:pPr>
    <w:rPr>
      <w:color w:val="7ECABF" w:themeColor="accent5" w:themeShade="BF"/>
    </w:r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rPr>
      <w:tblPr/>
      <w:tcPr>
        <w:tcBorders>
          <w:bottom w:val="single" w:sz="12" w:space="0" w:color="E0F2F0" w:themeColor="accent5" w:themeTint="99"/>
        </w:tcBorders>
      </w:tcPr>
    </w:tblStylePr>
    <w:tblStylePr w:type="lastRow">
      <w:rPr>
        <w:b/>
        <w:bCs/>
      </w:rPr>
      <w:tblPr/>
      <w:tcPr>
        <w:tcBorders>
          <w:top w:val="double" w:sz="4" w:space="0" w:color="E0F2F0" w:themeColor="accent5" w:themeTint="99"/>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GridTable6Colorful-Accent6">
    <w:name w:val="Grid Table 6 Colorful Accent 6"/>
    <w:basedOn w:val="TableNormal"/>
    <w:uiPriority w:val="51"/>
    <w:semiHidden/>
    <w:rsid w:val="00773A62"/>
    <w:pPr>
      <w:spacing w:after="0" w:line="240" w:lineRule="auto"/>
    </w:pPr>
    <w:rPr>
      <w:color w:val="414952" w:themeColor="accent6" w:themeShade="BF"/>
    </w:r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rPr>
      <w:tblPr/>
      <w:tcPr>
        <w:tcBorders>
          <w:bottom w:val="single" w:sz="12" w:space="0" w:color="96A0AC" w:themeColor="accent6" w:themeTint="99"/>
        </w:tcBorders>
      </w:tcPr>
    </w:tblStylePr>
    <w:tblStylePr w:type="lastRow">
      <w:rPr>
        <w:b/>
        <w:bCs/>
      </w:rPr>
      <w:tblPr/>
      <w:tcPr>
        <w:tcBorders>
          <w:top w:val="double" w:sz="4" w:space="0" w:color="96A0AC" w:themeColor="accent6" w:themeTint="99"/>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GridTable7Colorful">
    <w:name w:val="Grid Table 7 Colorful"/>
    <w:basedOn w:val="TableNormal"/>
    <w:uiPriority w:val="52"/>
    <w:semiHidden/>
    <w:rsid w:val="00773A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3A62"/>
    <w:pPr>
      <w:spacing w:after="0" w:line="240" w:lineRule="auto"/>
    </w:pPr>
    <w:rPr>
      <w:color w:val="A1A1A1" w:themeColor="accent1" w:themeShade="BF"/>
    </w:r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1" w:themeFillTint="33"/>
      </w:tcPr>
    </w:tblStylePr>
    <w:tblStylePr w:type="band1Horz">
      <w:tblPr/>
      <w:tcPr>
        <w:shd w:val="clear" w:color="auto" w:fill="F7F7F7" w:themeFill="accent1" w:themeFillTint="33"/>
      </w:tcPr>
    </w:tblStylePr>
    <w:tblStylePr w:type="neCell">
      <w:tblPr/>
      <w:tcPr>
        <w:tcBorders>
          <w:bottom w:val="single" w:sz="4" w:space="0" w:color="E7E7E7" w:themeColor="accent1" w:themeTint="99"/>
        </w:tcBorders>
      </w:tcPr>
    </w:tblStylePr>
    <w:tblStylePr w:type="nwCell">
      <w:tblPr/>
      <w:tcPr>
        <w:tcBorders>
          <w:bottom w:val="single" w:sz="4" w:space="0" w:color="E7E7E7" w:themeColor="accent1" w:themeTint="99"/>
        </w:tcBorders>
      </w:tcPr>
    </w:tblStylePr>
    <w:tblStylePr w:type="seCell">
      <w:tblPr/>
      <w:tcPr>
        <w:tcBorders>
          <w:top w:val="single" w:sz="4" w:space="0" w:color="E7E7E7" w:themeColor="accent1" w:themeTint="99"/>
        </w:tcBorders>
      </w:tcPr>
    </w:tblStylePr>
    <w:tblStylePr w:type="swCell">
      <w:tblPr/>
      <w:tcPr>
        <w:tcBorders>
          <w:top w:val="single" w:sz="4" w:space="0" w:color="E7E7E7" w:themeColor="accent1" w:themeTint="99"/>
        </w:tcBorders>
      </w:tcPr>
    </w:tblStylePr>
  </w:style>
  <w:style w:type="table" w:styleId="GridTable7Colorful-Accent2">
    <w:name w:val="Grid Table 7 Colorful Accent 2"/>
    <w:basedOn w:val="TableNormal"/>
    <w:uiPriority w:val="52"/>
    <w:semiHidden/>
    <w:rsid w:val="00773A62"/>
    <w:pPr>
      <w:spacing w:after="0" w:line="240" w:lineRule="auto"/>
    </w:pPr>
    <w:rPr>
      <w:color w:val="757985" w:themeColor="accent2" w:themeShade="BF"/>
    </w:r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E" w:themeFill="accent2" w:themeFillTint="33"/>
      </w:tcPr>
    </w:tblStylePr>
    <w:tblStylePr w:type="band1Horz">
      <w:tblPr/>
      <w:tcPr>
        <w:shd w:val="clear" w:color="auto" w:fill="ECECEE" w:themeFill="accent2" w:themeFillTint="33"/>
      </w:tcPr>
    </w:tblStylePr>
    <w:tblStylePr w:type="neCell">
      <w:tblPr/>
      <w:tcPr>
        <w:tcBorders>
          <w:bottom w:val="single" w:sz="4" w:space="0" w:color="C7C8CD" w:themeColor="accent2" w:themeTint="99"/>
        </w:tcBorders>
      </w:tcPr>
    </w:tblStylePr>
    <w:tblStylePr w:type="nwCell">
      <w:tblPr/>
      <w:tcPr>
        <w:tcBorders>
          <w:bottom w:val="single" w:sz="4" w:space="0" w:color="C7C8CD" w:themeColor="accent2" w:themeTint="99"/>
        </w:tcBorders>
      </w:tcPr>
    </w:tblStylePr>
    <w:tblStylePr w:type="seCell">
      <w:tblPr/>
      <w:tcPr>
        <w:tcBorders>
          <w:top w:val="single" w:sz="4" w:space="0" w:color="C7C8CD" w:themeColor="accent2" w:themeTint="99"/>
        </w:tcBorders>
      </w:tcPr>
    </w:tblStylePr>
    <w:tblStylePr w:type="swCell">
      <w:tblPr/>
      <w:tcPr>
        <w:tcBorders>
          <w:top w:val="single" w:sz="4" w:space="0" w:color="C7C8CD" w:themeColor="accent2" w:themeTint="99"/>
        </w:tcBorders>
      </w:tcPr>
    </w:tblStylePr>
  </w:style>
  <w:style w:type="table" w:styleId="GridTable7Colorful-Accent3">
    <w:name w:val="Grid Table 7 Colorful Accent 3"/>
    <w:basedOn w:val="TableNormal"/>
    <w:uiPriority w:val="52"/>
    <w:semiHidden/>
    <w:rsid w:val="00773A62"/>
    <w:pPr>
      <w:spacing w:after="0" w:line="240" w:lineRule="auto"/>
    </w:pPr>
    <w:rPr>
      <w:color w:val="7EB3D6" w:themeColor="accent3" w:themeShade="BF"/>
    </w:r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AFC" w:themeFill="accent3" w:themeFillTint="33"/>
      </w:tcPr>
    </w:tblStylePr>
    <w:tblStylePr w:type="band1Horz">
      <w:tblPr/>
      <w:tcPr>
        <w:shd w:val="clear" w:color="auto" w:fill="F6FAFC" w:themeFill="accent3" w:themeFillTint="33"/>
      </w:tcPr>
    </w:tblStylePr>
    <w:tblStylePr w:type="neCell">
      <w:tblPr/>
      <w:tcPr>
        <w:tcBorders>
          <w:bottom w:val="single" w:sz="4" w:space="0" w:color="E6F0F7" w:themeColor="accent3" w:themeTint="99"/>
        </w:tcBorders>
      </w:tcPr>
    </w:tblStylePr>
    <w:tblStylePr w:type="nwCell">
      <w:tblPr/>
      <w:tcPr>
        <w:tcBorders>
          <w:bottom w:val="single" w:sz="4" w:space="0" w:color="E6F0F7" w:themeColor="accent3" w:themeTint="99"/>
        </w:tcBorders>
      </w:tcPr>
    </w:tblStylePr>
    <w:tblStylePr w:type="seCell">
      <w:tblPr/>
      <w:tcPr>
        <w:tcBorders>
          <w:top w:val="single" w:sz="4" w:space="0" w:color="E6F0F7" w:themeColor="accent3" w:themeTint="99"/>
        </w:tcBorders>
      </w:tcPr>
    </w:tblStylePr>
    <w:tblStylePr w:type="swCell">
      <w:tblPr/>
      <w:tcPr>
        <w:tcBorders>
          <w:top w:val="single" w:sz="4" w:space="0" w:color="E6F0F7" w:themeColor="accent3" w:themeTint="99"/>
        </w:tcBorders>
      </w:tcPr>
    </w:tblStylePr>
  </w:style>
  <w:style w:type="table" w:styleId="GridTable7Colorful-Accent4">
    <w:name w:val="Grid Table 7 Colorful Accent 4"/>
    <w:basedOn w:val="TableNormal"/>
    <w:uiPriority w:val="52"/>
    <w:semiHidden/>
    <w:rsid w:val="00773A62"/>
    <w:pPr>
      <w:spacing w:after="0" w:line="240" w:lineRule="auto"/>
    </w:pPr>
    <w:rPr>
      <w:color w:val="91C1DC" w:themeColor="accent4" w:themeShade="BF"/>
    </w:r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DFE" w:themeFill="accent4" w:themeFillTint="33"/>
      </w:tcPr>
    </w:tblStylePr>
    <w:tblStylePr w:type="band1Horz">
      <w:tblPr/>
      <w:tcPr>
        <w:shd w:val="clear" w:color="auto" w:fill="FBFDFE" w:themeFill="accent4" w:themeFillTint="33"/>
      </w:tcPr>
    </w:tblStylePr>
    <w:tblStylePr w:type="neCell">
      <w:tblPr/>
      <w:tcPr>
        <w:tcBorders>
          <w:bottom w:val="single" w:sz="4" w:space="0" w:color="F5F9FC" w:themeColor="accent4" w:themeTint="99"/>
        </w:tcBorders>
      </w:tcPr>
    </w:tblStylePr>
    <w:tblStylePr w:type="nwCell">
      <w:tblPr/>
      <w:tcPr>
        <w:tcBorders>
          <w:bottom w:val="single" w:sz="4" w:space="0" w:color="F5F9FC" w:themeColor="accent4" w:themeTint="99"/>
        </w:tcBorders>
      </w:tcPr>
    </w:tblStylePr>
    <w:tblStylePr w:type="seCell">
      <w:tblPr/>
      <w:tcPr>
        <w:tcBorders>
          <w:top w:val="single" w:sz="4" w:space="0" w:color="F5F9FC" w:themeColor="accent4" w:themeTint="99"/>
        </w:tcBorders>
      </w:tcPr>
    </w:tblStylePr>
    <w:tblStylePr w:type="swCell">
      <w:tblPr/>
      <w:tcPr>
        <w:tcBorders>
          <w:top w:val="single" w:sz="4" w:space="0" w:color="F5F9FC" w:themeColor="accent4" w:themeTint="99"/>
        </w:tcBorders>
      </w:tcPr>
    </w:tblStylePr>
  </w:style>
  <w:style w:type="table" w:styleId="GridTable7Colorful-Accent5">
    <w:name w:val="Grid Table 7 Colorful Accent 5"/>
    <w:basedOn w:val="TableNormal"/>
    <w:uiPriority w:val="52"/>
    <w:semiHidden/>
    <w:rsid w:val="00773A62"/>
    <w:pPr>
      <w:spacing w:after="0" w:line="240" w:lineRule="auto"/>
    </w:pPr>
    <w:rPr>
      <w:color w:val="7ECABF" w:themeColor="accent5" w:themeShade="BF"/>
    </w:r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9" w:themeFill="accent5" w:themeFillTint="33"/>
      </w:tcPr>
    </w:tblStylePr>
    <w:tblStylePr w:type="band1Horz">
      <w:tblPr/>
      <w:tcPr>
        <w:shd w:val="clear" w:color="auto" w:fill="F4FAF9" w:themeFill="accent5" w:themeFillTint="33"/>
      </w:tcPr>
    </w:tblStylePr>
    <w:tblStylePr w:type="neCell">
      <w:tblPr/>
      <w:tcPr>
        <w:tcBorders>
          <w:bottom w:val="single" w:sz="4" w:space="0" w:color="E0F2F0" w:themeColor="accent5" w:themeTint="99"/>
        </w:tcBorders>
      </w:tcPr>
    </w:tblStylePr>
    <w:tblStylePr w:type="nwCell">
      <w:tblPr/>
      <w:tcPr>
        <w:tcBorders>
          <w:bottom w:val="single" w:sz="4" w:space="0" w:color="E0F2F0" w:themeColor="accent5" w:themeTint="99"/>
        </w:tcBorders>
      </w:tcPr>
    </w:tblStylePr>
    <w:tblStylePr w:type="seCell">
      <w:tblPr/>
      <w:tcPr>
        <w:tcBorders>
          <w:top w:val="single" w:sz="4" w:space="0" w:color="E0F2F0" w:themeColor="accent5" w:themeTint="99"/>
        </w:tcBorders>
      </w:tcPr>
    </w:tblStylePr>
    <w:tblStylePr w:type="swCell">
      <w:tblPr/>
      <w:tcPr>
        <w:tcBorders>
          <w:top w:val="single" w:sz="4" w:space="0" w:color="E0F2F0" w:themeColor="accent5" w:themeTint="99"/>
        </w:tcBorders>
      </w:tcPr>
    </w:tblStylePr>
  </w:style>
  <w:style w:type="table" w:styleId="GridTable7Colorful-Accent6">
    <w:name w:val="Grid Table 7 Colorful Accent 6"/>
    <w:basedOn w:val="TableNormal"/>
    <w:uiPriority w:val="52"/>
    <w:semiHidden/>
    <w:rsid w:val="00773A62"/>
    <w:pPr>
      <w:spacing w:after="0" w:line="240" w:lineRule="auto"/>
    </w:pPr>
    <w:rPr>
      <w:color w:val="414952" w:themeColor="accent6" w:themeShade="BF"/>
    </w:r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FE3" w:themeFill="accent6" w:themeFillTint="33"/>
      </w:tcPr>
    </w:tblStylePr>
    <w:tblStylePr w:type="band1Horz">
      <w:tblPr/>
      <w:tcPr>
        <w:shd w:val="clear" w:color="auto" w:fill="DCDFE3" w:themeFill="accent6" w:themeFillTint="33"/>
      </w:tcPr>
    </w:tblStylePr>
    <w:tblStylePr w:type="neCell">
      <w:tblPr/>
      <w:tcPr>
        <w:tcBorders>
          <w:bottom w:val="single" w:sz="4" w:space="0" w:color="96A0AC" w:themeColor="accent6" w:themeTint="99"/>
        </w:tcBorders>
      </w:tcPr>
    </w:tblStylePr>
    <w:tblStylePr w:type="nwCell">
      <w:tblPr/>
      <w:tcPr>
        <w:tcBorders>
          <w:bottom w:val="single" w:sz="4" w:space="0" w:color="96A0AC" w:themeColor="accent6" w:themeTint="99"/>
        </w:tcBorders>
      </w:tcPr>
    </w:tblStylePr>
    <w:tblStylePr w:type="seCell">
      <w:tblPr/>
      <w:tcPr>
        <w:tcBorders>
          <w:top w:val="single" w:sz="4" w:space="0" w:color="96A0AC" w:themeColor="accent6" w:themeTint="99"/>
        </w:tcBorders>
      </w:tcPr>
    </w:tblStylePr>
    <w:tblStylePr w:type="swCell">
      <w:tblPr/>
      <w:tcPr>
        <w:tcBorders>
          <w:top w:val="single" w:sz="4" w:space="0" w:color="96A0AC" w:themeColor="accent6" w:themeTint="99"/>
        </w:tcBorders>
      </w:tcPr>
    </w:tblStylePr>
  </w:style>
  <w:style w:type="character" w:customStyle="1" w:styleId="Hashtag1">
    <w:name w:val="Hashtag1"/>
    <w:basedOn w:val="DefaultParagraphFont"/>
    <w:uiPriority w:val="99"/>
    <w:semiHidden/>
    <w:unhideWhenUsed/>
    <w:rsid w:val="00773A62"/>
    <w:rPr>
      <w:color w:val="2B579A"/>
      <w:shd w:val="clear" w:color="auto" w:fill="E6E6E6"/>
      <w:lang w:val="en-GB"/>
    </w:rPr>
  </w:style>
  <w:style w:type="table" w:styleId="ListTable1Light">
    <w:name w:val="List Table 1 Light"/>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E7E7E7" w:themeColor="accent1" w:themeTint="99"/>
        </w:tcBorders>
      </w:tcPr>
    </w:tblStylePr>
    <w:tblStylePr w:type="lastRow">
      <w:rPr>
        <w:b/>
        <w:bCs/>
      </w:rPr>
      <w:tblPr/>
      <w:tcPr>
        <w:tcBorders>
          <w:top w:val="single" w:sz="4" w:space="0" w:color="E7E7E7" w:themeColor="accent1" w:themeTint="99"/>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1Light-Accent2">
    <w:name w:val="List Table 1 Light Accent 2"/>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C7C8CD" w:themeColor="accent2" w:themeTint="99"/>
        </w:tcBorders>
      </w:tcPr>
    </w:tblStylePr>
    <w:tblStylePr w:type="lastRow">
      <w:rPr>
        <w:b/>
        <w:bCs/>
      </w:rPr>
      <w:tblPr/>
      <w:tcPr>
        <w:tcBorders>
          <w:top w:val="single" w:sz="4" w:space="0" w:color="C7C8CD" w:themeColor="accent2" w:themeTint="99"/>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1Light-Accent3">
    <w:name w:val="List Table 1 Light Accent 3"/>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E6F0F7" w:themeColor="accent3" w:themeTint="99"/>
        </w:tcBorders>
      </w:tcPr>
    </w:tblStylePr>
    <w:tblStylePr w:type="lastRow">
      <w:rPr>
        <w:b/>
        <w:bCs/>
      </w:rPr>
      <w:tblPr/>
      <w:tcPr>
        <w:tcBorders>
          <w:top w:val="single" w:sz="4" w:space="0" w:color="E6F0F7" w:themeColor="accent3" w:themeTint="99"/>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1Light-Accent4">
    <w:name w:val="List Table 1 Light Accent 4"/>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F5F9FC" w:themeColor="accent4" w:themeTint="99"/>
        </w:tcBorders>
      </w:tcPr>
    </w:tblStylePr>
    <w:tblStylePr w:type="lastRow">
      <w:rPr>
        <w:b/>
        <w:bCs/>
      </w:rPr>
      <w:tblPr/>
      <w:tcPr>
        <w:tcBorders>
          <w:top w:val="single" w:sz="4" w:space="0" w:color="F5F9FC" w:themeColor="accent4" w:themeTint="99"/>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1Light-Accent5">
    <w:name w:val="List Table 1 Light Accent 5"/>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E0F2F0" w:themeColor="accent5" w:themeTint="99"/>
        </w:tcBorders>
      </w:tcPr>
    </w:tblStylePr>
    <w:tblStylePr w:type="lastRow">
      <w:rPr>
        <w:b/>
        <w:bCs/>
      </w:rPr>
      <w:tblPr/>
      <w:tcPr>
        <w:tcBorders>
          <w:top w:val="single" w:sz="4" w:space="0" w:color="E0F2F0" w:themeColor="accent5" w:themeTint="99"/>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1Light-Accent6">
    <w:name w:val="List Table 1 Light Accent 6"/>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96A0AC" w:themeColor="accent6" w:themeTint="99"/>
        </w:tcBorders>
      </w:tcPr>
    </w:tblStylePr>
    <w:tblStylePr w:type="lastRow">
      <w:rPr>
        <w:b/>
        <w:bCs/>
      </w:rPr>
      <w:tblPr/>
      <w:tcPr>
        <w:tcBorders>
          <w:top w:val="single" w:sz="4" w:space="0" w:color="96A0AC" w:themeColor="accent6" w:themeTint="99"/>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2">
    <w:name w:val="List Table 2"/>
    <w:basedOn w:val="TableNormal"/>
    <w:uiPriority w:val="47"/>
    <w:semiHidden/>
    <w:rsid w:val="00773A6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3A62"/>
    <w:pPr>
      <w:spacing w:after="0" w:line="240" w:lineRule="auto"/>
    </w:pPr>
    <w:tblPr>
      <w:tblStyleRowBandSize w:val="1"/>
      <w:tblStyleColBandSize w:val="1"/>
      <w:tblBorders>
        <w:top w:val="single" w:sz="4" w:space="0" w:color="E7E7E7" w:themeColor="accent1" w:themeTint="99"/>
        <w:bottom w:val="single" w:sz="4" w:space="0" w:color="E7E7E7" w:themeColor="accent1" w:themeTint="99"/>
        <w:insideH w:val="single" w:sz="4" w:space="0" w:color="E7E7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2-Accent2">
    <w:name w:val="List Table 2 Accent 2"/>
    <w:basedOn w:val="TableNormal"/>
    <w:uiPriority w:val="47"/>
    <w:semiHidden/>
    <w:rsid w:val="00773A62"/>
    <w:pPr>
      <w:spacing w:after="0" w:line="240" w:lineRule="auto"/>
    </w:pPr>
    <w:tblPr>
      <w:tblStyleRowBandSize w:val="1"/>
      <w:tblStyleColBandSize w:val="1"/>
      <w:tblBorders>
        <w:top w:val="single" w:sz="4" w:space="0" w:color="C7C8CD" w:themeColor="accent2" w:themeTint="99"/>
        <w:bottom w:val="single" w:sz="4" w:space="0" w:color="C7C8CD" w:themeColor="accent2" w:themeTint="99"/>
        <w:insideH w:val="single" w:sz="4" w:space="0" w:color="C7C8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2-Accent3">
    <w:name w:val="List Table 2 Accent 3"/>
    <w:basedOn w:val="TableNormal"/>
    <w:uiPriority w:val="47"/>
    <w:semiHidden/>
    <w:rsid w:val="00773A62"/>
    <w:pPr>
      <w:spacing w:after="0" w:line="240" w:lineRule="auto"/>
    </w:pPr>
    <w:tblPr>
      <w:tblStyleRowBandSize w:val="1"/>
      <w:tblStyleColBandSize w:val="1"/>
      <w:tblBorders>
        <w:top w:val="single" w:sz="4" w:space="0" w:color="E6F0F7" w:themeColor="accent3" w:themeTint="99"/>
        <w:bottom w:val="single" w:sz="4" w:space="0" w:color="E6F0F7" w:themeColor="accent3" w:themeTint="99"/>
        <w:insideH w:val="single" w:sz="4" w:space="0" w:color="E6F0F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2-Accent4">
    <w:name w:val="List Table 2 Accent 4"/>
    <w:basedOn w:val="TableNormal"/>
    <w:uiPriority w:val="47"/>
    <w:semiHidden/>
    <w:rsid w:val="00773A62"/>
    <w:pPr>
      <w:spacing w:after="0" w:line="240" w:lineRule="auto"/>
    </w:pPr>
    <w:tblPr>
      <w:tblStyleRowBandSize w:val="1"/>
      <w:tblStyleColBandSize w:val="1"/>
      <w:tblBorders>
        <w:top w:val="single" w:sz="4" w:space="0" w:color="F5F9FC" w:themeColor="accent4" w:themeTint="99"/>
        <w:bottom w:val="single" w:sz="4" w:space="0" w:color="F5F9FC" w:themeColor="accent4" w:themeTint="99"/>
        <w:insideH w:val="single" w:sz="4" w:space="0" w:color="F5F9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2-Accent5">
    <w:name w:val="List Table 2 Accent 5"/>
    <w:basedOn w:val="TableNormal"/>
    <w:uiPriority w:val="47"/>
    <w:semiHidden/>
    <w:rsid w:val="00773A62"/>
    <w:pPr>
      <w:spacing w:after="0" w:line="240" w:lineRule="auto"/>
    </w:pPr>
    <w:tblPr>
      <w:tblStyleRowBandSize w:val="1"/>
      <w:tblStyleColBandSize w:val="1"/>
      <w:tblBorders>
        <w:top w:val="single" w:sz="4" w:space="0" w:color="E0F2F0" w:themeColor="accent5" w:themeTint="99"/>
        <w:bottom w:val="single" w:sz="4" w:space="0" w:color="E0F2F0" w:themeColor="accent5" w:themeTint="99"/>
        <w:insideH w:val="single" w:sz="4" w:space="0" w:color="E0F2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2-Accent6">
    <w:name w:val="List Table 2 Accent 6"/>
    <w:basedOn w:val="TableNormal"/>
    <w:uiPriority w:val="47"/>
    <w:semiHidden/>
    <w:rsid w:val="00773A62"/>
    <w:pPr>
      <w:spacing w:after="0" w:line="240" w:lineRule="auto"/>
    </w:pPr>
    <w:tblPr>
      <w:tblStyleRowBandSize w:val="1"/>
      <w:tblStyleColBandSize w:val="1"/>
      <w:tblBorders>
        <w:top w:val="single" w:sz="4" w:space="0" w:color="96A0AC" w:themeColor="accent6" w:themeTint="99"/>
        <w:bottom w:val="single" w:sz="4" w:space="0" w:color="96A0AC" w:themeColor="accent6" w:themeTint="99"/>
        <w:insideH w:val="single" w:sz="4" w:space="0" w:color="96A0A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3">
    <w:name w:val="List Table 3"/>
    <w:basedOn w:val="TableNormal"/>
    <w:uiPriority w:val="48"/>
    <w:semiHidden/>
    <w:rsid w:val="00773A6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3A62"/>
    <w:pPr>
      <w:spacing w:after="0" w:line="240" w:lineRule="auto"/>
    </w:pPr>
    <w:tblPr>
      <w:tblStyleRowBandSize w:val="1"/>
      <w:tblStyleColBandSize w:val="1"/>
      <w:tblBorders>
        <w:top w:val="single" w:sz="4" w:space="0" w:color="D8D8D8" w:themeColor="accent1"/>
        <w:left w:val="single" w:sz="4" w:space="0" w:color="D8D8D8" w:themeColor="accent1"/>
        <w:bottom w:val="single" w:sz="4" w:space="0" w:color="D8D8D8" w:themeColor="accent1"/>
        <w:right w:val="single" w:sz="4" w:space="0" w:color="D8D8D8" w:themeColor="accent1"/>
      </w:tblBorders>
    </w:tblPr>
    <w:tblStylePr w:type="firstRow">
      <w:rPr>
        <w:b/>
        <w:bCs/>
        <w:color w:val="FFFFFF" w:themeColor="background1"/>
      </w:rPr>
      <w:tblPr/>
      <w:tcPr>
        <w:shd w:val="clear" w:color="auto" w:fill="D8D8D8" w:themeFill="accent1"/>
      </w:tcPr>
    </w:tblStylePr>
    <w:tblStylePr w:type="lastRow">
      <w:rPr>
        <w:b/>
        <w:bCs/>
      </w:rPr>
      <w:tblPr/>
      <w:tcPr>
        <w:tcBorders>
          <w:top w:val="double" w:sz="4" w:space="0" w:color="D8D8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1"/>
          <w:right w:val="single" w:sz="4" w:space="0" w:color="D8D8D8" w:themeColor="accent1"/>
        </w:tcBorders>
      </w:tcPr>
    </w:tblStylePr>
    <w:tblStylePr w:type="band1Horz">
      <w:tblPr/>
      <w:tcPr>
        <w:tcBorders>
          <w:top w:val="single" w:sz="4" w:space="0" w:color="D8D8D8" w:themeColor="accent1"/>
          <w:bottom w:val="single" w:sz="4" w:space="0" w:color="D8D8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1"/>
          <w:left w:val="nil"/>
        </w:tcBorders>
      </w:tcPr>
    </w:tblStylePr>
    <w:tblStylePr w:type="swCell">
      <w:tblPr/>
      <w:tcPr>
        <w:tcBorders>
          <w:top w:val="double" w:sz="4" w:space="0" w:color="D8D8D8" w:themeColor="accent1"/>
          <w:right w:val="nil"/>
        </w:tcBorders>
      </w:tcPr>
    </w:tblStylePr>
  </w:style>
  <w:style w:type="table" w:styleId="ListTable3-Accent2">
    <w:name w:val="List Table 3 Accent 2"/>
    <w:basedOn w:val="TableNormal"/>
    <w:uiPriority w:val="48"/>
    <w:semiHidden/>
    <w:rsid w:val="00773A62"/>
    <w:pPr>
      <w:spacing w:after="0" w:line="240" w:lineRule="auto"/>
    </w:pPr>
    <w:tblPr>
      <w:tblStyleRowBandSize w:val="1"/>
      <w:tblStyleColBandSize w:val="1"/>
      <w:tblBorders>
        <w:top w:val="single" w:sz="4" w:space="0" w:color="A2A5AD" w:themeColor="accent2"/>
        <w:left w:val="single" w:sz="4" w:space="0" w:color="A2A5AD" w:themeColor="accent2"/>
        <w:bottom w:val="single" w:sz="4" w:space="0" w:color="A2A5AD" w:themeColor="accent2"/>
        <w:right w:val="single" w:sz="4" w:space="0" w:color="A2A5AD" w:themeColor="accent2"/>
      </w:tblBorders>
    </w:tblPr>
    <w:tblStylePr w:type="firstRow">
      <w:rPr>
        <w:b/>
        <w:bCs/>
        <w:color w:val="FFFFFF" w:themeColor="background1"/>
      </w:rPr>
      <w:tblPr/>
      <w:tcPr>
        <w:shd w:val="clear" w:color="auto" w:fill="A2A5AD" w:themeFill="accent2"/>
      </w:tcPr>
    </w:tblStylePr>
    <w:tblStylePr w:type="lastRow">
      <w:rPr>
        <w:b/>
        <w:bCs/>
      </w:rPr>
      <w:tblPr/>
      <w:tcPr>
        <w:tcBorders>
          <w:top w:val="double" w:sz="4" w:space="0" w:color="A2A5A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A5AD" w:themeColor="accent2"/>
          <w:right w:val="single" w:sz="4" w:space="0" w:color="A2A5AD" w:themeColor="accent2"/>
        </w:tcBorders>
      </w:tcPr>
    </w:tblStylePr>
    <w:tblStylePr w:type="band1Horz">
      <w:tblPr/>
      <w:tcPr>
        <w:tcBorders>
          <w:top w:val="single" w:sz="4" w:space="0" w:color="A2A5AD" w:themeColor="accent2"/>
          <w:bottom w:val="single" w:sz="4" w:space="0" w:color="A2A5A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A5AD" w:themeColor="accent2"/>
          <w:left w:val="nil"/>
        </w:tcBorders>
      </w:tcPr>
    </w:tblStylePr>
    <w:tblStylePr w:type="swCell">
      <w:tblPr/>
      <w:tcPr>
        <w:tcBorders>
          <w:top w:val="double" w:sz="4" w:space="0" w:color="A2A5AD" w:themeColor="accent2"/>
          <w:right w:val="nil"/>
        </w:tcBorders>
      </w:tcPr>
    </w:tblStylePr>
  </w:style>
  <w:style w:type="table" w:styleId="ListTable3-Accent3">
    <w:name w:val="List Table 3 Accent 3"/>
    <w:basedOn w:val="TableNormal"/>
    <w:uiPriority w:val="48"/>
    <w:semiHidden/>
    <w:rsid w:val="00773A62"/>
    <w:pPr>
      <w:spacing w:after="0" w:line="240" w:lineRule="auto"/>
    </w:pPr>
    <w:tblPr>
      <w:tblStyleRowBandSize w:val="1"/>
      <w:tblStyleColBandSize w:val="1"/>
      <w:tblBorders>
        <w:top w:val="single" w:sz="4" w:space="0" w:color="D6E7F2" w:themeColor="accent3"/>
        <w:left w:val="single" w:sz="4" w:space="0" w:color="D6E7F2" w:themeColor="accent3"/>
        <w:bottom w:val="single" w:sz="4" w:space="0" w:color="D6E7F2" w:themeColor="accent3"/>
        <w:right w:val="single" w:sz="4" w:space="0" w:color="D6E7F2" w:themeColor="accent3"/>
      </w:tblBorders>
    </w:tblPr>
    <w:tblStylePr w:type="firstRow">
      <w:rPr>
        <w:b/>
        <w:bCs/>
        <w:color w:val="FFFFFF" w:themeColor="background1"/>
      </w:rPr>
      <w:tblPr/>
      <w:tcPr>
        <w:shd w:val="clear" w:color="auto" w:fill="D6E7F2" w:themeFill="accent3"/>
      </w:tcPr>
    </w:tblStylePr>
    <w:tblStylePr w:type="lastRow">
      <w:rPr>
        <w:b/>
        <w:bCs/>
      </w:rPr>
      <w:tblPr/>
      <w:tcPr>
        <w:tcBorders>
          <w:top w:val="double" w:sz="4" w:space="0" w:color="D6E7F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E7F2" w:themeColor="accent3"/>
          <w:right w:val="single" w:sz="4" w:space="0" w:color="D6E7F2" w:themeColor="accent3"/>
        </w:tcBorders>
      </w:tcPr>
    </w:tblStylePr>
    <w:tblStylePr w:type="band1Horz">
      <w:tblPr/>
      <w:tcPr>
        <w:tcBorders>
          <w:top w:val="single" w:sz="4" w:space="0" w:color="D6E7F2" w:themeColor="accent3"/>
          <w:bottom w:val="single" w:sz="4" w:space="0" w:color="D6E7F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E7F2" w:themeColor="accent3"/>
          <w:left w:val="nil"/>
        </w:tcBorders>
      </w:tcPr>
    </w:tblStylePr>
    <w:tblStylePr w:type="swCell">
      <w:tblPr/>
      <w:tcPr>
        <w:tcBorders>
          <w:top w:val="double" w:sz="4" w:space="0" w:color="D6E7F2" w:themeColor="accent3"/>
          <w:right w:val="nil"/>
        </w:tcBorders>
      </w:tcPr>
    </w:tblStylePr>
  </w:style>
  <w:style w:type="table" w:styleId="ListTable3-Accent4">
    <w:name w:val="List Table 3 Accent 4"/>
    <w:basedOn w:val="TableNormal"/>
    <w:uiPriority w:val="48"/>
    <w:semiHidden/>
    <w:rsid w:val="00773A62"/>
    <w:pPr>
      <w:spacing w:after="0" w:line="240" w:lineRule="auto"/>
    </w:pPr>
    <w:tblPr>
      <w:tblStyleRowBandSize w:val="1"/>
      <w:tblStyleColBandSize w:val="1"/>
      <w:tblBorders>
        <w:top w:val="single" w:sz="4" w:space="0" w:color="EFF6FA" w:themeColor="accent4"/>
        <w:left w:val="single" w:sz="4" w:space="0" w:color="EFF6FA" w:themeColor="accent4"/>
        <w:bottom w:val="single" w:sz="4" w:space="0" w:color="EFF6FA" w:themeColor="accent4"/>
        <w:right w:val="single" w:sz="4" w:space="0" w:color="EFF6FA" w:themeColor="accent4"/>
      </w:tblBorders>
    </w:tblPr>
    <w:tblStylePr w:type="firstRow">
      <w:rPr>
        <w:b/>
        <w:bCs/>
        <w:color w:val="FFFFFF" w:themeColor="background1"/>
      </w:rPr>
      <w:tblPr/>
      <w:tcPr>
        <w:shd w:val="clear" w:color="auto" w:fill="EFF6FA" w:themeFill="accent4"/>
      </w:tcPr>
    </w:tblStylePr>
    <w:tblStylePr w:type="lastRow">
      <w:rPr>
        <w:b/>
        <w:bCs/>
      </w:rPr>
      <w:tblPr/>
      <w:tcPr>
        <w:tcBorders>
          <w:top w:val="double" w:sz="4" w:space="0" w:color="EFF6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F6FA" w:themeColor="accent4"/>
          <w:right w:val="single" w:sz="4" w:space="0" w:color="EFF6FA" w:themeColor="accent4"/>
        </w:tcBorders>
      </w:tcPr>
    </w:tblStylePr>
    <w:tblStylePr w:type="band1Horz">
      <w:tblPr/>
      <w:tcPr>
        <w:tcBorders>
          <w:top w:val="single" w:sz="4" w:space="0" w:color="EFF6FA" w:themeColor="accent4"/>
          <w:bottom w:val="single" w:sz="4" w:space="0" w:color="EFF6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F6FA" w:themeColor="accent4"/>
          <w:left w:val="nil"/>
        </w:tcBorders>
      </w:tcPr>
    </w:tblStylePr>
    <w:tblStylePr w:type="swCell">
      <w:tblPr/>
      <w:tcPr>
        <w:tcBorders>
          <w:top w:val="double" w:sz="4" w:space="0" w:color="EFF6FA" w:themeColor="accent4"/>
          <w:right w:val="nil"/>
        </w:tcBorders>
      </w:tcPr>
    </w:tblStylePr>
  </w:style>
  <w:style w:type="table" w:styleId="ListTable3-Accent5">
    <w:name w:val="List Table 3 Accent 5"/>
    <w:basedOn w:val="TableNormal"/>
    <w:uiPriority w:val="48"/>
    <w:semiHidden/>
    <w:rsid w:val="00773A62"/>
    <w:pPr>
      <w:spacing w:after="0" w:line="240" w:lineRule="auto"/>
    </w:pPr>
    <w:tblPr>
      <w:tblStyleRowBandSize w:val="1"/>
      <w:tblStyleColBandSize w:val="1"/>
      <w:tblBorders>
        <w:top w:val="single" w:sz="4" w:space="0" w:color="CCEAE6" w:themeColor="accent5"/>
        <w:left w:val="single" w:sz="4" w:space="0" w:color="CCEAE6" w:themeColor="accent5"/>
        <w:bottom w:val="single" w:sz="4" w:space="0" w:color="CCEAE6" w:themeColor="accent5"/>
        <w:right w:val="single" w:sz="4" w:space="0" w:color="CCEAE6" w:themeColor="accent5"/>
      </w:tblBorders>
    </w:tblPr>
    <w:tblStylePr w:type="firstRow">
      <w:rPr>
        <w:b/>
        <w:bCs/>
        <w:color w:val="FFFFFF" w:themeColor="background1"/>
      </w:rPr>
      <w:tblPr/>
      <w:tcPr>
        <w:shd w:val="clear" w:color="auto" w:fill="CCEAE6" w:themeFill="accent5"/>
      </w:tcPr>
    </w:tblStylePr>
    <w:tblStylePr w:type="lastRow">
      <w:rPr>
        <w:b/>
        <w:bCs/>
      </w:rPr>
      <w:tblPr/>
      <w:tcPr>
        <w:tcBorders>
          <w:top w:val="double" w:sz="4" w:space="0" w:color="CCEA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EAE6" w:themeColor="accent5"/>
          <w:right w:val="single" w:sz="4" w:space="0" w:color="CCEAE6" w:themeColor="accent5"/>
        </w:tcBorders>
      </w:tcPr>
    </w:tblStylePr>
    <w:tblStylePr w:type="band1Horz">
      <w:tblPr/>
      <w:tcPr>
        <w:tcBorders>
          <w:top w:val="single" w:sz="4" w:space="0" w:color="CCEAE6" w:themeColor="accent5"/>
          <w:bottom w:val="single" w:sz="4" w:space="0" w:color="CCEA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EAE6" w:themeColor="accent5"/>
          <w:left w:val="nil"/>
        </w:tcBorders>
      </w:tcPr>
    </w:tblStylePr>
    <w:tblStylePr w:type="swCell">
      <w:tblPr/>
      <w:tcPr>
        <w:tcBorders>
          <w:top w:val="double" w:sz="4" w:space="0" w:color="CCEAE6" w:themeColor="accent5"/>
          <w:right w:val="nil"/>
        </w:tcBorders>
      </w:tcPr>
    </w:tblStylePr>
  </w:style>
  <w:style w:type="table" w:styleId="ListTable3-Accent6">
    <w:name w:val="List Table 3 Accent 6"/>
    <w:basedOn w:val="TableNormal"/>
    <w:uiPriority w:val="48"/>
    <w:semiHidden/>
    <w:rsid w:val="00773A62"/>
    <w:pPr>
      <w:spacing w:after="0" w:line="240" w:lineRule="auto"/>
    </w:pPr>
    <w:tblPr>
      <w:tblStyleRowBandSize w:val="1"/>
      <w:tblStyleColBandSize w:val="1"/>
      <w:tblBorders>
        <w:top w:val="single" w:sz="4" w:space="0" w:color="57626E" w:themeColor="accent6"/>
        <w:left w:val="single" w:sz="4" w:space="0" w:color="57626E" w:themeColor="accent6"/>
        <w:bottom w:val="single" w:sz="4" w:space="0" w:color="57626E" w:themeColor="accent6"/>
        <w:right w:val="single" w:sz="4" w:space="0" w:color="57626E" w:themeColor="accent6"/>
      </w:tblBorders>
    </w:tblPr>
    <w:tblStylePr w:type="firstRow">
      <w:rPr>
        <w:b/>
        <w:bCs/>
        <w:color w:val="FFFFFF" w:themeColor="background1"/>
      </w:rPr>
      <w:tblPr/>
      <w:tcPr>
        <w:shd w:val="clear" w:color="auto" w:fill="57626E" w:themeFill="accent6"/>
      </w:tcPr>
    </w:tblStylePr>
    <w:tblStylePr w:type="lastRow">
      <w:rPr>
        <w:b/>
        <w:bCs/>
      </w:rPr>
      <w:tblPr/>
      <w:tcPr>
        <w:tcBorders>
          <w:top w:val="double" w:sz="4" w:space="0" w:color="57626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626E" w:themeColor="accent6"/>
          <w:right w:val="single" w:sz="4" w:space="0" w:color="57626E" w:themeColor="accent6"/>
        </w:tcBorders>
      </w:tcPr>
    </w:tblStylePr>
    <w:tblStylePr w:type="band1Horz">
      <w:tblPr/>
      <w:tcPr>
        <w:tcBorders>
          <w:top w:val="single" w:sz="4" w:space="0" w:color="57626E" w:themeColor="accent6"/>
          <w:bottom w:val="single" w:sz="4" w:space="0" w:color="57626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626E" w:themeColor="accent6"/>
          <w:left w:val="nil"/>
        </w:tcBorders>
      </w:tcPr>
    </w:tblStylePr>
    <w:tblStylePr w:type="swCell">
      <w:tblPr/>
      <w:tcPr>
        <w:tcBorders>
          <w:top w:val="double" w:sz="4" w:space="0" w:color="57626E" w:themeColor="accent6"/>
          <w:right w:val="nil"/>
        </w:tcBorders>
      </w:tcPr>
    </w:tblStylePr>
  </w:style>
  <w:style w:type="table" w:styleId="ListTable4">
    <w:name w:val="List Table 4"/>
    <w:basedOn w:val="TableNormal"/>
    <w:uiPriority w:val="49"/>
    <w:semiHidden/>
    <w:rsid w:val="00773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3A62"/>
    <w:pPr>
      <w:spacing w:after="0" w:line="240" w:lineRule="auto"/>
    </w:p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tblBorders>
    </w:tblPr>
    <w:tblStylePr w:type="firstRow">
      <w:rPr>
        <w:b/>
        <w:bCs/>
        <w:color w:val="FFFFFF" w:themeColor="background1"/>
      </w:rPr>
      <w:tblPr/>
      <w:tcPr>
        <w:tcBorders>
          <w:top w:val="single" w:sz="4" w:space="0" w:color="D8D8D8" w:themeColor="accent1"/>
          <w:left w:val="single" w:sz="4" w:space="0" w:color="D8D8D8" w:themeColor="accent1"/>
          <w:bottom w:val="single" w:sz="4" w:space="0" w:color="D8D8D8" w:themeColor="accent1"/>
          <w:right w:val="single" w:sz="4" w:space="0" w:color="D8D8D8" w:themeColor="accent1"/>
          <w:insideH w:val="nil"/>
        </w:tcBorders>
        <w:shd w:val="clear" w:color="auto" w:fill="D8D8D8" w:themeFill="accent1"/>
      </w:tcPr>
    </w:tblStylePr>
    <w:tblStylePr w:type="lastRow">
      <w:rPr>
        <w:b/>
        <w:bCs/>
      </w:rPr>
      <w:tblPr/>
      <w:tcPr>
        <w:tcBorders>
          <w:top w:val="double" w:sz="4" w:space="0" w:color="E7E7E7" w:themeColor="accent1" w:themeTint="99"/>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4-Accent2">
    <w:name w:val="List Table 4 Accent 2"/>
    <w:basedOn w:val="TableNormal"/>
    <w:uiPriority w:val="49"/>
    <w:semiHidden/>
    <w:rsid w:val="00773A62"/>
    <w:pPr>
      <w:spacing w:after="0" w:line="240" w:lineRule="auto"/>
    </w:p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tblBorders>
    </w:tblPr>
    <w:tblStylePr w:type="firstRow">
      <w:rPr>
        <w:b/>
        <w:bCs/>
        <w:color w:val="FFFFFF" w:themeColor="background1"/>
      </w:rPr>
      <w:tblPr/>
      <w:tcPr>
        <w:tcBorders>
          <w:top w:val="single" w:sz="4" w:space="0" w:color="A2A5AD" w:themeColor="accent2"/>
          <w:left w:val="single" w:sz="4" w:space="0" w:color="A2A5AD" w:themeColor="accent2"/>
          <w:bottom w:val="single" w:sz="4" w:space="0" w:color="A2A5AD" w:themeColor="accent2"/>
          <w:right w:val="single" w:sz="4" w:space="0" w:color="A2A5AD" w:themeColor="accent2"/>
          <w:insideH w:val="nil"/>
        </w:tcBorders>
        <w:shd w:val="clear" w:color="auto" w:fill="A2A5AD" w:themeFill="accent2"/>
      </w:tcPr>
    </w:tblStylePr>
    <w:tblStylePr w:type="lastRow">
      <w:rPr>
        <w:b/>
        <w:bCs/>
      </w:rPr>
      <w:tblPr/>
      <w:tcPr>
        <w:tcBorders>
          <w:top w:val="double" w:sz="4" w:space="0" w:color="C7C8CD" w:themeColor="accent2" w:themeTint="99"/>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4-Accent3">
    <w:name w:val="List Table 4 Accent 3"/>
    <w:basedOn w:val="TableNormal"/>
    <w:uiPriority w:val="49"/>
    <w:semiHidden/>
    <w:rsid w:val="00773A62"/>
    <w:pPr>
      <w:spacing w:after="0" w:line="240" w:lineRule="auto"/>
    </w:p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tblBorders>
    </w:tblPr>
    <w:tblStylePr w:type="firstRow">
      <w:rPr>
        <w:b/>
        <w:bCs/>
        <w:color w:val="FFFFFF" w:themeColor="background1"/>
      </w:rPr>
      <w:tblPr/>
      <w:tcPr>
        <w:tcBorders>
          <w:top w:val="single" w:sz="4" w:space="0" w:color="D6E7F2" w:themeColor="accent3"/>
          <w:left w:val="single" w:sz="4" w:space="0" w:color="D6E7F2" w:themeColor="accent3"/>
          <w:bottom w:val="single" w:sz="4" w:space="0" w:color="D6E7F2" w:themeColor="accent3"/>
          <w:right w:val="single" w:sz="4" w:space="0" w:color="D6E7F2" w:themeColor="accent3"/>
          <w:insideH w:val="nil"/>
        </w:tcBorders>
        <w:shd w:val="clear" w:color="auto" w:fill="D6E7F2" w:themeFill="accent3"/>
      </w:tcPr>
    </w:tblStylePr>
    <w:tblStylePr w:type="lastRow">
      <w:rPr>
        <w:b/>
        <w:bCs/>
      </w:rPr>
      <w:tblPr/>
      <w:tcPr>
        <w:tcBorders>
          <w:top w:val="double" w:sz="4" w:space="0" w:color="E6F0F7" w:themeColor="accent3" w:themeTint="99"/>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4-Accent4">
    <w:name w:val="List Table 4 Accent 4"/>
    <w:basedOn w:val="TableNormal"/>
    <w:uiPriority w:val="49"/>
    <w:semiHidden/>
    <w:rsid w:val="00773A62"/>
    <w:pPr>
      <w:spacing w:after="0" w:line="240" w:lineRule="auto"/>
    </w:p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tblBorders>
    </w:tblPr>
    <w:tblStylePr w:type="firstRow">
      <w:rPr>
        <w:b/>
        <w:bCs/>
        <w:color w:val="FFFFFF" w:themeColor="background1"/>
      </w:rPr>
      <w:tblPr/>
      <w:tcPr>
        <w:tcBorders>
          <w:top w:val="single" w:sz="4" w:space="0" w:color="EFF6FA" w:themeColor="accent4"/>
          <w:left w:val="single" w:sz="4" w:space="0" w:color="EFF6FA" w:themeColor="accent4"/>
          <w:bottom w:val="single" w:sz="4" w:space="0" w:color="EFF6FA" w:themeColor="accent4"/>
          <w:right w:val="single" w:sz="4" w:space="0" w:color="EFF6FA" w:themeColor="accent4"/>
          <w:insideH w:val="nil"/>
        </w:tcBorders>
        <w:shd w:val="clear" w:color="auto" w:fill="EFF6FA" w:themeFill="accent4"/>
      </w:tcPr>
    </w:tblStylePr>
    <w:tblStylePr w:type="lastRow">
      <w:rPr>
        <w:b/>
        <w:bCs/>
      </w:rPr>
      <w:tblPr/>
      <w:tcPr>
        <w:tcBorders>
          <w:top w:val="double" w:sz="4" w:space="0" w:color="F5F9FC" w:themeColor="accent4" w:themeTint="99"/>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4-Accent5">
    <w:name w:val="List Table 4 Accent 5"/>
    <w:basedOn w:val="TableNormal"/>
    <w:uiPriority w:val="49"/>
    <w:semiHidden/>
    <w:rsid w:val="00773A62"/>
    <w:pPr>
      <w:spacing w:after="0" w:line="240" w:lineRule="auto"/>
    </w:p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tblBorders>
    </w:tblPr>
    <w:tblStylePr w:type="firstRow">
      <w:rPr>
        <w:b/>
        <w:bCs/>
        <w:color w:val="FFFFFF" w:themeColor="background1"/>
      </w:rPr>
      <w:tblPr/>
      <w:tcPr>
        <w:tcBorders>
          <w:top w:val="single" w:sz="4" w:space="0" w:color="CCEAE6" w:themeColor="accent5"/>
          <w:left w:val="single" w:sz="4" w:space="0" w:color="CCEAE6" w:themeColor="accent5"/>
          <w:bottom w:val="single" w:sz="4" w:space="0" w:color="CCEAE6" w:themeColor="accent5"/>
          <w:right w:val="single" w:sz="4" w:space="0" w:color="CCEAE6" w:themeColor="accent5"/>
          <w:insideH w:val="nil"/>
        </w:tcBorders>
        <w:shd w:val="clear" w:color="auto" w:fill="CCEAE6" w:themeFill="accent5"/>
      </w:tcPr>
    </w:tblStylePr>
    <w:tblStylePr w:type="lastRow">
      <w:rPr>
        <w:b/>
        <w:bCs/>
      </w:rPr>
      <w:tblPr/>
      <w:tcPr>
        <w:tcBorders>
          <w:top w:val="double" w:sz="4" w:space="0" w:color="E0F2F0" w:themeColor="accent5" w:themeTint="99"/>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4-Accent6">
    <w:name w:val="List Table 4 Accent 6"/>
    <w:basedOn w:val="TableNormal"/>
    <w:uiPriority w:val="49"/>
    <w:semiHidden/>
    <w:rsid w:val="00773A62"/>
    <w:pPr>
      <w:spacing w:after="0" w:line="240" w:lineRule="auto"/>
    </w:p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tblBorders>
    </w:tblPr>
    <w:tblStylePr w:type="firstRow">
      <w:rPr>
        <w:b/>
        <w:bCs/>
        <w:color w:val="FFFFFF" w:themeColor="background1"/>
      </w:rPr>
      <w:tblPr/>
      <w:tcPr>
        <w:tcBorders>
          <w:top w:val="single" w:sz="4" w:space="0" w:color="57626E" w:themeColor="accent6"/>
          <w:left w:val="single" w:sz="4" w:space="0" w:color="57626E" w:themeColor="accent6"/>
          <w:bottom w:val="single" w:sz="4" w:space="0" w:color="57626E" w:themeColor="accent6"/>
          <w:right w:val="single" w:sz="4" w:space="0" w:color="57626E" w:themeColor="accent6"/>
          <w:insideH w:val="nil"/>
        </w:tcBorders>
        <w:shd w:val="clear" w:color="auto" w:fill="57626E" w:themeFill="accent6"/>
      </w:tcPr>
    </w:tblStylePr>
    <w:tblStylePr w:type="lastRow">
      <w:rPr>
        <w:b/>
        <w:bCs/>
      </w:rPr>
      <w:tblPr/>
      <w:tcPr>
        <w:tcBorders>
          <w:top w:val="double" w:sz="4" w:space="0" w:color="96A0AC" w:themeColor="accent6" w:themeTint="99"/>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5Dark">
    <w:name w:val="List Table 5 Dark"/>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D8D8D8" w:themeColor="accent1"/>
        <w:left w:val="single" w:sz="24" w:space="0" w:color="D8D8D8" w:themeColor="accent1"/>
        <w:bottom w:val="single" w:sz="24" w:space="0" w:color="D8D8D8" w:themeColor="accent1"/>
        <w:right w:val="single" w:sz="24" w:space="0" w:color="D8D8D8" w:themeColor="accent1"/>
      </w:tblBorders>
    </w:tblPr>
    <w:tcPr>
      <w:shd w:val="clear" w:color="auto" w:fill="D8D8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A2A5AD" w:themeColor="accent2"/>
        <w:left w:val="single" w:sz="24" w:space="0" w:color="A2A5AD" w:themeColor="accent2"/>
        <w:bottom w:val="single" w:sz="24" w:space="0" w:color="A2A5AD" w:themeColor="accent2"/>
        <w:right w:val="single" w:sz="24" w:space="0" w:color="A2A5AD" w:themeColor="accent2"/>
      </w:tblBorders>
    </w:tblPr>
    <w:tcPr>
      <w:shd w:val="clear" w:color="auto" w:fill="A2A5A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D6E7F2" w:themeColor="accent3"/>
        <w:left w:val="single" w:sz="24" w:space="0" w:color="D6E7F2" w:themeColor="accent3"/>
        <w:bottom w:val="single" w:sz="24" w:space="0" w:color="D6E7F2" w:themeColor="accent3"/>
        <w:right w:val="single" w:sz="24" w:space="0" w:color="D6E7F2" w:themeColor="accent3"/>
      </w:tblBorders>
    </w:tblPr>
    <w:tcPr>
      <w:shd w:val="clear" w:color="auto" w:fill="D6E7F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EFF6FA" w:themeColor="accent4"/>
        <w:left w:val="single" w:sz="24" w:space="0" w:color="EFF6FA" w:themeColor="accent4"/>
        <w:bottom w:val="single" w:sz="24" w:space="0" w:color="EFF6FA" w:themeColor="accent4"/>
        <w:right w:val="single" w:sz="24" w:space="0" w:color="EFF6FA" w:themeColor="accent4"/>
      </w:tblBorders>
    </w:tblPr>
    <w:tcPr>
      <w:shd w:val="clear" w:color="auto" w:fill="EFF6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CCEAE6" w:themeColor="accent5"/>
        <w:left w:val="single" w:sz="24" w:space="0" w:color="CCEAE6" w:themeColor="accent5"/>
        <w:bottom w:val="single" w:sz="24" w:space="0" w:color="CCEAE6" w:themeColor="accent5"/>
        <w:right w:val="single" w:sz="24" w:space="0" w:color="CCEAE6" w:themeColor="accent5"/>
      </w:tblBorders>
    </w:tblPr>
    <w:tcPr>
      <w:shd w:val="clear" w:color="auto" w:fill="CCEA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57626E" w:themeColor="accent6"/>
        <w:left w:val="single" w:sz="24" w:space="0" w:color="57626E" w:themeColor="accent6"/>
        <w:bottom w:val="single" w:sz="24" w:space="0" w:color="57626E" w:themeColor="accent6"/>
        <w:right w:val="single" w:sz="24" w:space="0" w:color="57626E" w:themeColor="accent6"/>
      </w:tblBorders>
    </w:tblPr>
    <w:tcPr>
      <w:shd w:val="clear" w:color="auto" w:fill="57626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3A6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3A62"/>
    <w:pPr>
      <w:spacing w:after="0" w:line="240" w:lineRule="auto"/>
    </w:pPr>
    <w:rPr>
      <w:color w:val="A1A1A1" w:themeColor="accent1" w:themeShade="BF"/>
    </w:rPr>
    <w:tblPr>
      <w:tblStyleRowBandSize w:val="1"/>
      <w:tblStyleColBandSize w:val="1"/>
      <w:tblBorders>
        <w:top w:val="single" w:sz="4" w:space="0" w:color="D8D8D8" w:themeColor="accent1"/>
        <w:bottom w:val="single" w:sz="4" w:space="0" w:color="D8D8D8" w:themeColor="accent1"/>
      </w:tblBorders>
    </w:tblPr>
    <w:tblStylePr w:type="firstRow">
      <w:rPr>
        <w:b/>
        <w:bCs/>
      </w:rPr>
      <w:tblPr/>
      <w:tcPr>
        <w:tcBorders>
          <w:bottom w:val="single" w:sz="4" w:space="0" w:color="D8D8D8" w:themeColor="accent1"/>
        </w:tcBorders>
      </w:tcPr>
    </w:tblStylePr>
    <w:tblStylePr w:type="lastRow">
      <w:rPr>
        <w:b/>
        <w:bCs/>
      </w:rPr>
      <w:tblPr/>
      <w:tcPr>
        <w:tcBorders>
          <w:top w:val="double" w:sz="4" w:space="0" w:color="D8D8D8" w:themeColor="accent1"/>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6Colorful-Accent2">
    <w:name w:val="List Table 6 Colorful Accent 2"/>
    <w:basedOn w:val="TableNormal"/>
    <w:uiPriority w:val="51"/>
    <w:semiHidden/>
    <w:rsid w:val="00773A62"/>
    <w:pPr>
      <w:spacing w:after="0" w:line="240" w:lineRule="auto"/>
    </w:pPr>
    <w:rPr>
      <w:color w:val="757985" w:themeColor="accent2" w:themeShade="BF"/>
    </w:rPr>
    <w:tblPr>
      <w:tblStyleRowBandSize w:val="1"/>
      <w:tblStyleColBandSize w:val="1"/>
      <w:tblBorders>
        <w:top w:val="single" w:sz="4" w:space="0" w:color="A2A5AD" w:themeColor="accent2"/>
        <w:bottom w:val="single" w:sz="4" w:space="0" w:color="A2A5AD" w:themeColor="accent2"/>
      </w:tblBorders>
    </w:tblPr>
    <w:tblStylePr w:type="firstRow">
      <w:rPr>
        <w:b/>
        <w:bCs/>
      </w:rPr>
      <w:tblPr/>
      <w:tcPr>
        <w:tcBorders>
          <w:bottom w:val="single" w:sz="4" w:space="0" w:color="A2A5AD" w:themeColor="accent2"/>
        </w:tcBorders>
      </w:tcPr>
    </w:tblStylePr>
    <w:tblStylePr w:type="lastRow">
      <w:rPr>
        <w:b/>
        <w:bCs/>
      </w:rPr>
      <w:tblPr/>
      <w:tcPr>
        <w:tcBorders>
          <w:top w:val="double" w:sz="4" w:space="0" w:color="A2A5AD" w:themeColor="accent2"/>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6Colorful-Accent3">
    <w:name w:val="List Table 6 Colorful Accent 3"/>
    <w:basedOn w:val="TableNormal"/>
    <w:uiPriority w:val="51"/>
    <w:semiHidden/>
    <w:rsid w:val="00773A62"/>
    <w:pPr>
      <w:spacing w:after="0" w:line="240" w:lineRule="auto"/>
    </w:pPr>
    <w:rPr>
      <w:color w:val="7EB3D6" w:themeColor="accent3" w:themeShade="BF"/>
    </w:rPr>
    <w:tblPr>
      <w:tblStyleRowBandSize w:val="1"/>
      <w:tblStyleColBandSize w:val="1"/>
      <w:tblBorders>
        <w:top w:val="single" w:sz="4" w:space="0" w:color="D6E7F2" w:themeColor="accent3"/>
        <w:bottom w:val="single" w:sz="4" w:space="0" w:color="D6E7F2" w:themeColor="accent3"/>
      </w:tblBorders>
    </w:tblPr>
    <w:tblStylePr w:type="firstRow">
      <w:rPr>
        <w:b/>
        <w:bCs/>
      </w:rPr>
      <w:tblPr/>
      <w:tcPr>
        <w:tcBorders>
          <w:bottom w:val="single" w:sz="4" w:space="0" w:color="D6E7F2" w:themeColor="accent3"/>
        </w:tcBorders>
      </w:tcPr>
    </w:tblStylePr>
    <w:tblStylePr w:type="lastRow">
      <w:rPr>
        <w:b/>
        <w:bCs/>
      </w:rPr>
      <w:tblPr/>
      <w:tcPr>
        <w:tcBorders>
          <w:top w:val="double" w:sz="4" w:space="0" w:color="D6E7F2" w:themeColor="accent3"/>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6Colorful-Accent4">
    <w:name w:val="List Table 6 Colorful Accent 4"/>
    <w:basedOn w:val="TableNormal"/>
    <w:uiPriority w:val="51"/>
    <w:semiHidden/>
    <w:rsid w:val="00773A62"/>
    <w:pPr>
      <w:spacing w:after="0" w:line="240" w:lineRule="auto"/>
    </w:pPr>
    <w:rPr>
      <w:color w:val="91C1DC" w:themeColor="accent4" w:themeShade="BF"/>
    </w:rPr>
    <w:tblPr>
      <w:tblStyleRowBandSize w:val="1"/>
      <w:tblStyleColBandSize w:val="1"/>
      <w:tblBorders>
        <w:top w:val="single" w:sz="4" w:space="0" w:color="EFF6FA" w:themeColor="accent4"/>
        <w:bottom w:val="single" w:sz="4" w:space="0" w:color="EFF6FA" w:themeColor="accent4"/>
      </w:tblBorders>
    </w:tblPr>
    <w:tblStylePr w:type="firstRow">
      <w:rPr>
        <w:b/>
        <w:bCs/>
      </w:rPr>
      <w:tblPr/>
      <w:tcPr>
        <w:tcBorders>
          <w:bottom w:val="single" w:sz="4" w:space="0" w:color="EFF6FA" w:themeColor="accent4"/>
        </w:tcBorders>
      </w:tcPr>
    </w:tblStylePr>
    <w:tblStylePr w:type="lastRow">
      <w:rPr>
        <w:b/>
        <w:bCs/>
      </w:rPr>
      <w:tblPr/>
      <w:tcPr>
        <w:tcBorders>
          <w:top w:val="double" w:sz="4" w:space="0" w:color="EFF6FA" w:themeColor="accent4"/>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6Colorful-Accent5">
    <w:name w:val="List Table 6 Colorful Accent 5"/>
    <w:basedOn w:val="TableNormal"/>
    <w:uiPriority w:val="51"/>
    <w:semiHidden/>
    <w:rsid w:val="00773A62"/>
    <w:pPr>
      <w:spacing w:after="0" w:line="240" w:lineRule="auto"/>
    </w:pPr>
    <w:rPr>
      <w:color w:val="7ECABF" w:themeColor="accent5" w:themeShade="BF"/>
    </w:rPr>
    <w:tblPr>
      <w:tblStyleRowBandSize w:val="1"/>
      <w:tblStyleColBandSize w:val="1"/>
      <w:tblBorders>
        <w:top w:val="single" w:sz="4" w:space="0" w:color="CCEAE6" w:themeColor="accent5"/>
        <w:bottom w:val="single" w:sz="4" w:space="0" w:color="CCEAE6" w:themeColor="accent5"/>
      </w:tblBorders>
    </w:tblPr>
    <w:tblStylePr w:type="firstRow">
      <w:rPr>
        <w:b/>
        <w:bCs/>
      </w:rPr>
      <w:tblPr/>
      <w:tcPr>
        <w:tcBorders>
          <w:bottom w:val="single" w:sz="4" w:space="0" w:color="CCEAE6" w:themeColor="accent5"/>
        </w:tcBorders>
      </w:tcPr>
    </w:tblStylePr>
    <w:tblStylePr w:type="lastRow">
      <w:rPr>
        <w:b/>
        <w:bCs/>
      </w:rPr>
      <w:tblPr/>
      <w:tcPr>
        <w:tcBorders>
          <w:top w:val="double" w:sz="4" w:space="0" w:color="CCEAE6" w:themeColor="accent5"/>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6Colorful-Accent6">
    <w:name w:val="List Table 6 Colorful Accent 6"/>
    <w:basedOn w:val="TableNormal"/>
    <w:uiPriority w:val="51"/>
    <w:semiHidden/>
    <w:rsid w:val="00773A62"/>
    <w:pPr>
      <w:spacing w:after="0" w:line="240" w:lineRule="auto"/>
    </w:pPr>
    <w:rPr>
      <w:color w:val="414952" w:themeColor="accent6" w:themeShade="BF"/>
    </w:rPr>
    <w:tblPr>
      <w:tblStyleRowBandSize w:val="1"/>
      <w:tblStyleColBandSize w:val="1"/>
      <w:tblBorders>
        <w:top w:val="single" w:sz="4" w:space="0" w:color="57626E" w:themeColor="accent6"/>
        <w:bottom w:val="single" w:sz="4" w:space="0" w:color="57626E" w:themeColor="accent6"/>
      </w:tblBorders>
    </w:tblPr>
    <w:tblStylePr w:type="firstRow">
      <w:rPr>
        <w:b/>
        <w:bCs/>
      </w:rPr>
      <w:tblPr/>
      <w:tcPr>
        <w:tcBorders>
          <w:bottom w:val="single" w:sz="4" w:space="0" w:color="57626E" w:themeColor="accent6"/>
        </w:tcBorders>
      </w:tcPr>
    </w:tblStylePr>
    <w:tblStylePr w:type="lastRow">
      <w:rPr>
        <w:b/>
        <w:bCs/>
      </w:rPr>
      <w:tblPr/>
      <w:tcPr>
        <w:tcBorders>
          <w:top w:val="double" w:sz="4" w:space="0" w:color="57626E" w:themeColor="accent6"/>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7Colorful">
    <w:name w:val="List Table 7 Colorful"/>
    <w:basedOn w:val="TableNormal"/>
    <w:uiPriority w:val="52"/>
    <w:semiHidden/>
    <w:rsid w:val="00773A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3A62"/>
    <w:pPr>
      <w:spacing w:after="0" w:line="240" w:lineRule="auto"/>
    </w:pPr>
    <w:rPr>
      <w:color w:val="A1A1A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8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8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8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8D8" w:themeColor="accent1"/>
        </w:tcBorders>
        <w:shd w:val="clear" w:color="auto" w:fill="FFFFFF" w:themeFill="background1"/>
      </w:tcPr>
    </w:tblStylePr>
    <w:tblStylePr w:type="band1Vert">
      <w:tblPr/>
      <w:tcPr>
        <w:shd w:val="clear" w:color="auto" w:fill="F7F7F7" w:themeFill="accent1" w:themeFillTint="33"/>
      </w:tcPr>
    </w:tblStylePr>
    <w:tblStylePr w:type="band1Horz">
      <w:tblPr/>
      <w:tcPr>
        <w:shd w:val="clear" w:color="auto" w:fill="F7F7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3A62"/>
    <w:pPr>
      <w:spacing w:after="0" w:line="240" w:lineRule="auto"/>
    </w:pPr>
    <w:rPr>
      <w:color w:val="7579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A5A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A5A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A5A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A5AD" w:themeColor="accent2"/>
        </w:tcBorders>
        <w:shd w:val="clear" w:color="auto" w:fill="FFFFFF" w:themeFill="background1"/>
      </w:tcPr>
    </w:tblStylePr>
    <w:tblStylePr w:type="band1Vert">
      <w:tblPr/>
      <w:tcPr>
        <w:shd w:val="clear" w:color="auto" w:fill="ECECEE" w:themeFill="accent2" w:themeFillTint="33"/>
      </w:tcPr>
    </w:tblStylePr>
    <w:tblStylePr w:type="band1Horz">
      <w:tblPr/>
      <w:tcPr>
        <w:shd w:val="clear" w:color="auto" w:fill="ECEC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3A62"/>
    <w:pPr>
      <w:spacing w:after="0" w:line="240" w:lineRule="auto"/>
    </w:pPr>
    <w:rPr>
      <w:color w:val="7EB3D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E7F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E7F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E7F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E7F2" w:themeColor="accent3"/>
        </w:tcBorders>
        <w:shd w:val="clear" w:color="auto" w:fill="FFFFFF" w:themeFill="background1"/>
      </w:tcPr>
    </w:tblStylePr>
    <w:tblStylePr w:type="band1Vert">
      <w:tblPr/>
      <w:tcPr>
        <w:shd w:val="clear" w:color="auto" w:fill="F6FAFC" w:themeFill="accent3" w:themeFillTint="33"/>
      </w:tcPr>
    </w:tblStylePr>
    <w:tblStylePr w:type="band1Horz">
      <w:tblPr/>
      <w:tcPr>
        <w:shd w:val="clear" w:color="auto" w:fill="F6FA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3A62"/>
    <w:pPr>
      <w:spacing w:after="0" w:line="240" w:lineRule="auto"/>
    </w:pPr>
    <w:rPr>
      <w:color w:val="91C1D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F6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F6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F6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F6FA" w:themeColor="accent4"/>
        </w:tcBorders>
        <w:shd w:val="clear" w:color="auto" w:fill="FFFFFF" w:themeFill="background1"/>
      </w:tcPr>
    </w:tblStylePr>
    <w:tblStylePr w:type="band1Vert">
      <w:tblPr/>
      <w:tcPr>
        <w:shd w:val="clear" w:color="auto" w:fill="FBFDFE" w:themeFill="accent4" w:themeFillTint="33"/>
      </w:tcPr>
    </w:tblStylePr>
    <w:tblStylePr w:type="band1Horz">
      <w:tblPr/>
      <w:tcPr>
        <w:shd w:val="clear" w:color="auto" w:fill="FBFD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3A62"/>
    <w:pPr>
      <w:spacing w:after="0" w:line="240" w:lineRule="auto"/>
    </w:pPr>
    <w:rPr>
      <w:color w:val="7ECA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EA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EA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EA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EAE6" w:themeColor="accent5"/>
        </w:tcBorders>
        <w:shd w:val="clear" w:color="auto" w:fill="FFFFFF" w:themeFill="background1"/>
      </w:tcPr>
    </w:tblStylePr>
    <w:tblStylePr w:type="band1Vert">
      <w:tblPr/>
      <w:tcPr>
        <w:shd w:val="clear" w:color="auto" w:fill="F4FAF9" w:themeFill="accent5" w:themeFillTint="33"/>
      </w:tcPr>
    </w:tblStylePr>
    <w:tblStylePr w:type="band1Horz">
      <w:tblPr/>
      <w:tcPr>
        <w:shd w:val="clear" w:color="auto" w:fill="F4FA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3A62"/>
    <w:pPr>
      <w:spacing w:after="0" w:line="240" w:lineRule="auto"/>
    </w:pPr>
    <w:rPr>
      <w:color w:val="4149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62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62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62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626E" w:themeColor="accent6"/>
        </w:tcBorders>
        <w:shd w:val="clear" w:color="auto" w:fill="FFFFFF" w:themeFill="background1"/>
      </w:tcPr>
    </w:tblStylePr>
    <w:tblStylePr w:type="band1Vert">
      <w:tblPr/>
      <w:tcPr>
        <w:shd w:val="clear" w:color="auto" w:fill="DCDFE3" w:themeFill="accent6" w:themeFillTint="33"/>
      </w:tcPr>
    </w:tblStylePr>
    <w:tblStylePr w:type="band1Horz">
      <w:tblPr/>
      <w:tcPr>
        <w:shd w:val="clear" w:color="auto" w:fill="DCDF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773A62"/>
    <w:rPr>
      <w:color w:val="2B579A"/>
      <w:shd w:val="clear" w:color="auto" w:fill="E6E6E6"/>
      <w:lang w:val="en-GB"/>
    </w:rPr>
  </w:style>
  <w:style w:type="table" w:customStyle="1" w:styleId="PlainTable11">
    <w:name w:val="Plain Table 11"/>
    <w:basedOn w:val="TableNormal"/>
    <w:uiPriority w:val="41"/>
    <w:semiHidden/>
    <w:rsid w:val="00773A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773A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773A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773A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773A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773A62"/>
    <w:rPr>
      <w:u w:val="dotted"/>
      <w:lang w:val="en-GB"/>
    </w:rPr>
  </w:style>
  <w:style w:type="table" w:customStyle="1" w:styleId="TableGridLight1">
    <w:name w:val="Table Grid Light1"/>
    <w:basedOn w:val="TableNormal"/>
    <w:uiPriority w:val="40"/>
    <w:semiHidden/>
    <w:rsid w:val="00773A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773A62"/>
    <w:rPr>
      <w:color w:val="808080"/>
      <w:shd w:val="clear" w:color="auto" w:fill="E6E6E6"/>
      <w:lang w:val="en-GB"/>
    </w:rPr>
  </w:style>
  <w:style w:type="table" w:customStyle="1" w:styleId="SDGTableDefault1">
    <w:name w:val="SDG Table Default1"/>
    <w:basedOn w:val="TableNormal"/>
    <w:uiPriority w:val="18"/>
    <w:semiHidden/>
    <w:rsid w:val="00B216CA"/>
    <w:pPr>
      <w:spacing w:before="50" w:after="50" w:line="180" w:lineRule="atLeast"/>
    </w:pPr>
    <w:rPr>
      <w:sz w:val="18"/>
    </w:rPr>
    <w:tblPr>
      <w:tblStyleRowBandSize w:val="1"/>
      <w:tblBorders>
        <w:bottom w:val="single" w:sz="18" w:space="0" w:color="009483" w:themeColor="text2"/>
        <w:insideV w:val="single" w:sz="6" w:space="0" w:color="FFFFFF" w:themeColor="background1"/>
      </w:tblBorders>
    </w:tblPr>
    <w:trPr>
      <w:cantSplit/>
    </w:trPr>
    <w:tcPr>
      <w:vAlign w:val="center"/>
    </w:tcPr>
    <w:tblStylePr w:type="firstRow">
      <w:pPr>
        <w:keepNext/>
        <w:keepLines/>
        <w:wordWrap/>
      </w:pPr>
      <w:rPr>
        <w:b/>
        <w:color w:val="FFFFFF" w:themeColor="background1"/>
      </w:rPr>
      <w:tblPr/>
      <w:tcPr>
        <w:shd w:val="clear" w:color="auto" w:fill="009483" w:themeFill="text2"/>
      </w:tcPr>
    </w:tblStylePr>
    <w:tblStylePr w:type="lastRow">
      <w:rPr>
        <w:b/>
      </w:rPr>
      <w:tblPr/>
      <w:tcPr>
        <w:tcBorders>
          <w:top w:val="single" w:sz="4" w:space="0" w:color="009483" w:themeColor="text2"/>
          <w:left w:val="nil"/>
          <w:bottom w:val="single" w:sz="18" w:space="0" w:color="009483" w:themeColor="text2"/>
          <w:right w:val="nil"/>
          <w:insideH w:val="nil"/>
          <w:insideV w:val="nil"/>
          <w:tl2br w:val="nil"/>
          <w:tr2bl w:val="nil"/>
        </w:tcBorders>
      </w:tcPr>
    </w:tblStylePr>
    <w:tblStylePr w:type="firstCol">
      <w:pPr>
        <w:jc w:val="left"/>
      </w:pPr>
    </w:tblStylePr>
    <w:tblStylePr w:type="band1Horz">
      <w:tblPr/>
      <w:tcPr>
        <w:shd w:val="clear" w:color="auto" w:fill="CCEAE6" w:themeFill="accent5"/>
      </w:tcPr>
    </w:tblStylePr>
  </w:style>
  <w:style w:type="paragraph" w:styleId="Revision">
    <w:name w:val="Revision"/>
    <w:hidden/>
    <w:uiPriority w:val="99"/>
    <w:semiHidden/>
    <w:rsid w:val="00190022"/>
    <w:pPr>
      <w:spacing w:before="0" w:after="0" w:line="240" w:lineRule="auto"/>
    </w:pPr>
  </w:style>
  <w:style w:type="character" w:customStyle="1" w:styleId="Hashtag">
    <w:name w:val="Hashtag"/>
    <w:basedOn w:val="DefaultParagraphFont"/>
    <w:uiPriority w:val="99"/>
    <w:semiHidden/>
    <w:unhideWhenUsed/>
    <w:rsid w:val="008F07DE"/>
    <w:rPr>
      <w:color w:val="2B579A"/>
      <w:shd w:val="clear" w:color="auto" w:fill="E6E6E6"/>
      <w:lang w:val="en-GB"/>
    </w:rPr>
  </w:style>
  <w:style w:type="character" w:customStyle="1" w:styleId="Mention">
    <w:name w:val="Mention"/>
    <w:basedOn w:val="DefaultParagraphFont"/>
    <w:uiPriority w:val="99"/>
    <w:semiHidden/>
    <w:unhideWhenUsed/>
    <w:rsid w:val="008F07DE"/>
    <w:rPr>
      <w:color w:val="2B579A"/>
      <w:shd w:val="clear" w:color="auto" w:fill="E6E6E6"/>
      <w:lang w:val="en-GB"/>
    </w:rPr>
  </w:style>
  <w:style w:type="character" w:customStyle="1" w:styleId="SmartHyperlink">
    <w:name w:val="Smart Hyperlink"/>
    <w:basedOn w:val="DefaultParagraphFont"/>
    <w:uiPriority w:val="99"/>
    <w:semiHidden/>
    <w:unhideWhenUsed/>
    <w:rsid w:val="008F07DE"/>
    <w:rPr>
      <w:u w:val="dotted"/>
      <w:lang w:val="en-GB"/>
    </w:rPr>
  </w:style>
  <w:style w:type="character" w:customStyle="1" w:styleId="UnresolvedMention">
    <w:name w:val="Unresolved Mention"/>
    <w:basedOn w:val="DefaultParagraphFont"/>
    <w:uiPriority w:val="99"/>
    <w:semiHidden/>
    <w:unhideWhenUsed/>
    <w:rsid w:val="008F07DE"/>
    <w:rPr>
      <w:color w:val="808080"/>
      <w:shd w:val="clear" w:color="auto" w:fill="E6E6E6"/>
      <w:lang w:val="en-GB"/>
    </w:rPr>
  </w:style>
  <w:style w:type="paragraph" w:customStyle="1" w:styleId="SDGEDExecSummBody">
    <w:name w:val="SDG_ED Exec Summ Body"/>
    <w:uiPriority w:val="1"/>
    <w:qFormat/>
    <w:rsid w:val="00637D0C"/>
    <w:pPr>
      <w:numPr>
        <w:numId w:val="29"/>
      </w:numPr>
      <w:ind w:left="0" w:hanging="540"/>
    </w:pPr>
  </w:style>
  <w:style w:type="paragraph" w:customStyle="1" w:styleId="SDPTabhletext">
    <w:name w:val="SDP_Tabhle text"/>
    <w:basedOn w:val="Normal"/>
    <w:uiPriority w:val="1"/>
    <w:qFormat/>
    <w:rsid w:val="00473D2E"/>
    <w:pPr>
      <w:widowControl w:val="0"/>
      <w:spacing w:before="0"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eader" Target="header12.xml"/><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chart" Target="charts/chart2.xml"/><Relationship Id="rId42" Type="http://schemas.openxmlformats.org/officeDocument/2006/relationships/image" Target="media/image6.png"/><Relationship Id="rId47" Type="http://schemas.openxmlformats.org/officeDocument/2006/relationships/header" Target="header18.xml"/><Relationship Id="rId50" Type="http://schemas.openxmlformats.org/officeDocument/2006/relationships/header" Target="header20.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chart" Target="charts/chart1.xml"/><Relationship Id="rId38" Type="http://schemas.openxmlformats.org/officeDocument/2006/relationships/header" Target="header11.xml"/><Relationship Id="rId46" Type="http://schemas.openxmlformats.org/officeDocument/2006/relationships/header" Target="header17.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header" Target="header3.xml"/><Relationship Id="rId29" Type="http://schemas.openxmlformats.org/officeDocument/2006/relationships/header" Target="header9.xml"/><Relationship Id="rId41" Type="http://schemas.openxmlformats.org/officeDocument/2006/relationships/header" Target="header1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3.png"/><Relationship Id="rId37" Type="http://schemas.openxmlformats.org/officeDocument/2006/relationships/image" Target="media/image5.png"/><Relationship Id="rId40" Type="http://schemas.openxmlformats.org/officeDocument/2006/relationships/header" Target="header13.xml"/><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https://sdgworld.sharepoint.com/sites/SDG_ED/Shared%20Documents/Skunk%20Working/Lancashire%20Innovation%20Plan/Lancashire%20Innovation%20Plan%20Report%20-%20FINAL%20-%20FINAL.docx" TargetMode="External"/><Relationship Id="rId28" Type="http://schemas.openxmlformats.org/officeDocument/2006/relationships/header" Target="header8.xml"/><Relationship Id="rId36" Type="http://schemas.openxmlformats.org/officeDocument/2006/relationships/image" Target="media/image4.png"/><Relationship Id="rId49"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4.xml"/><Relationship Id="rId35" Type="http://schemas.openxmlformats.org/officeDocument/2006/relationships/chart" Target="charts/chart3.xml"/><Relationship Id="rId43" Type="http://schemas.openxmlformats.org/officeDocument/2006/relationships/header" Target="header15.xml"/><Relationship Id="rId48" Type="http://schemas.openxmlformats.org/officeDocument/2006/relationships/header" Target="header19.xml"/><Relationship Id="rId8" Type="http://schemas.openxmlformats.org/officeDocument/2006/relationships/numbering" Target="numbering.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png"/><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ingle\SDG\Templates\SDG_ED%20Report%20A4%20Portrai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dgworld.sharepoint.com/sites/SDG_ED/Shared%20Documents/Skunk%20Working/Lancashire%20Innovation%20Plan/Indicators%20an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weeting\Desktop\Copy%20of%20Lancashire%20Employment%20GVA%20Forecasts_GKF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dgworld.net\Data\Manchester\Projects\231\4\95\01\Work\Evidence%20Workshop\Indicators%20and%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'[Indicators and Data.xlsx]Total GVA'!$G$8</c:f>
              <c:strCache>
                <c:ptCount val="1"/>
                <c:pt idx="0">
                  <c:v>Lancashire</c:v>
                </c:pt>
              </c:strCache>
            </c:strRef>
          </c:tx>
          <c:spPr>
            <a:ln w="34925" cap="rnd">
              <a:solidFill>
                <a:srgbClr val="7DC574"/>
              </a:solidFill>
              <a:round/>
            </a:ln>
            <a:effectLst>
              <a:outerShdw blurRad="40000" dist="23000" dir="5400000" rotWithShape="0">
                <a:srgbClr val="000000">
                  <a:alpha val="35000"/>
                </a:srgbClr>
              </a:outerShdw>
            </a:effectLst>
          </c:spPr>
          <c:marker>
            <c:symbol val="none"/>
          </c:marker>
          <c:cat>
            <c:numRef>
              <c:f>'[Indicators and Data.xlsx]Total GVA'!$F$9:$F$27</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'[Indicators and Data.xlsx]Total GVA'!$G$9:$G$27</c:f>
              <c:numCache>
                <c:formatCode>0</c:formatCode>
                <c:ptCount val="19"/>
                <c:pt idx="0">
                  <c:v>100</c:v>
                </c:pt>
                <c:pt idx="1">
                  <c:v>102.46950136207509</c:v>
                </c:pt>
                <c:pt idx="2">
                  <c:v>104.93900272415019</c:v>
                </c:pt>
                <c:pt idx="3">
                  <c:v>107.10055667416795</c:v>
                </c:pt>
                <c:pt idx="4">
                  <c:v>110.19779699159066</c:v>
                </c:pt>
                <c:pt idx="5">
                  <c:v>115.79414899917091</c:v>
                </c:pt>
                <c:pt idx="6">
                  <c:v>124.64171503020253</c:v>
                </c:pt>
                <c:pt idx="7">
                  <c:v>133.96304631055312</c:v>
                </c:pt>
                <c:pt idx="8">
                  <c:v>139.24552884045954</c:v>
                </c:pt>
                <c:pt idx="9">
                  <c:v>143.0534170318607</c:v>
                </c:pt>
                <c:pt idx="10">
                  <c:v>151.36207509179201</c:v>
                </c:pt>
                <c:pt idx="11">
                  <c:v>152.65900746180267</c:v>
                </c:pt>
                <c:pt idx="12">
                  <c:v>147.5778751628568</c:v>
                </c:pt>
                <c:pt idx="13">
                  <c:v>149.95854554068458</c:v>
                </c:pt>
                <c:pt idx="14">
                  <c:v>149.54992301314698</c:v>
                </c:pt>
                <c:pt idx="15">
                  <c:v>154.76726282127206</c:v>
                </c:pt>
                <c:pt idx="16">
                  <c:v>161.34075565557265</c:v>
                </c:pt>
                <c:pt idx="17">
                  <c:v>165.35591614355087</c:v>
                </c:pt>
                <c:pt idx="18">
                  <c:v>171.81688973113822</c:v>
                </c:pt>
              </c:numCache>
            </c:numRef>
          </c:val>
          <c:smooth val="1"/>
          <c:extLst>
            <c:ext xmlns:c16="http://schemas.microsoft.com/office/drawing/2014/chart" uri="{C3380CC4-5D6E-409C-BE32-E72D297353CC}">
              <c16:uniqueId val="{00000000-4F28-4FCC-9F27-A01C1943CD90}"/>
            </c:ext>
          </c:extLst>
        </c:ser>
        <c:ser>
          <c:idx val="1"/>
          <c:order val="1"/>
          <c:tx>
            <c:strRef>
              <c:f>'[Indicators and Data.xlsx]Total GVA'!$H$8</c:f>
              <c:strCache>
                <c:ptCount val="1"/>
                <c:pt idx="0">
                  <c:v>North West</c:v>
                </c:pt>
              </c:strCache>
            </c:strRef>
          </c:tx>
          <c:spPr>
            <a:ln w="34925" cap="rnd">
              <a:solidFill>
                <a:srgbClr val="AE1031"/>
              </a:solidFill>
              <a:round/>
            </a:ln>
            <a:effectLst>
              <a:outerShdw blurRad="40000" dist="23000" dir="5400000" rotWithShape="0">
                <a:srgbClr val="000000">
                  <a:alpha val="35000"/>
                </a:srgbClr>
              </a:outerShdw>
            </a:effectLst>
          </c:spPr>
          <c:marker>
            <c:symbol val="none"/>
          </c:marker>
          <c:cat>
            <c:numRef>
              <c:f>'[Indicators and Data.xlsx]Total GVA'!$F$9:$F$27</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'[Indicators and Data.xlsx]Total GVA'!$H$9:$H$27</c:f>
              <c:numCache>
                <c:formatCode>0</c:formatCode>
                <c:ptCount val="19"/>
                <c:pt idx="0">
                  <c:v>100</c:v>
                </c:pt>
                <c:pt idx="1">
                  <c:v>104.49231593560486</c:v>
                </c:pt>
                <c:pt idx="2">
                  <c:v>108.56085145765849</c:v>
                </c:pt>
                <c:pt idx="3">
                  <c:v>110.38749117124138</c:v>
                </c:pt>
                <c:pt idx="4">
                  <c:v>117.27757617087606</c:v>
                </c:pt>
                <c:pt idx="5">
                  <c:v>123.85104362015636</c:v>
                </c:pt>
                <c:pt idx="6">
                  <c:v>131.71046542779902</c:v>
                </c:pt>
                <c:pt idx="7">
                  <c:v>139.29345575878614</c:v>
                </c:pt>
                <c:pt idx="8">
                  <c:v>145.63554884434595</c:v>
                </c:pt>
                <c:pt idx="9">
                  <c:v>155.46652378284907</c:v>
                </c:pt>
                <c:pt idx="10">
                  <c:v>161.56384714678876</c:v>
                </c:pt>
                <c:pt idx="11">
                  <c:v>165.45337197691128</c:v>
                </c:pt>
                <c:pt idx="12">
                  <c:v>163.95187413234615</c:v>
                </c:pt>
                <c:pt idx="13">
                  <c:v>166.19011666138971</c:v>
                </c:pt>
                <c:pt idx="14">
                  <c:v>165.2865388830707</c:v>
                </c:pt>
                <c:pt idx="15">
                  <c:v>170.36094400740399</c:v>
                </c:pt>
                <c:pt idx="16">
                  <c:v>178.05962152025134</c:v>
                </c:pt>
                <c:pt idx="17">
                  <c:v>184.34935093402177</c:v>
                </c:pt>
                <c:pt idx="18">
                  <c:v>191.03119900630799</c:v>
                </c:pt>
              </c:numCache>
            </c:numRef>
          </c:val>
          <c:smooth val="1"/>
          <c:extLst>
            <c:ext xmlns:c16="http://schemas.microsoft.com/office/drawing/2014/chart" uri="{C3380CC4-5D6E-409C-BE32-E72D297353CC}">
              <c16:uniqueId val="{00000001-4F28-4FCC-9F27-A01C1943CD90}"/>
            </c:ext>
          </c:extLst>
        </c:ser>
        <c:ser>
          <c:idx val="2"/>
          <c:order val="2"/>
          <c:tx>
            <c:strRef>
              <c:f>'[Indicators and Data.xlsx]Total GVA'!$I$8</c:f>
              <c:strCache>
                <c:ptCount val="1"/>
                <c:pt idx="0">
                  <c:v>UK</c:v>
                </c:pt>
              </c:strCache>
            </c:strRef>
          </c:tx>
          <c:spPr>
            <a:ln w="34925" cap="rnd">
              <a:solidFill>
                <a:srgbClr val="86B3CB"/>
              </a:solidFill>
              <a:round/>
            </a:ln>
            <a:effectLst>
              <a:outerShdw blurRad="40000" dist="23000" dir="5400000" rotWithShape="0">
                <a:srgbClr val="000000">
                  <a:alpha val="35000"/>
                </a:srgbClr>
              </a:outerShdw>
            </a:effectLst>
          </c:spPr>
          <c:marker>
            <c:symbol val="none"/>
          </c:marker>
          <c:cat>
            <c:numRef>
              <c:f>'[Indicators and Data.xlsx]Total GVA'!$F$9:$F$27</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'[Indicators and Data.xlsx]Total GVA'!$I$9:$I$27</c:f>
              <c:numCache>
                <c:formatCode>0</c:formatCode>
                <c:ptCount val="19"/>
                <c:pt idx="0">
                  <c:v>100</c:v>
                </c:pt>
                <c:pt idx="1">
                  <c:v>104.40280373495666</c:v>
                </c:pt>
                <c:pt idx="2">
                  <c:v>108.14315495706526</c:v>
                </c:pt>
                <c:pt idx="3">
                  <c:v>113.72832733737486</c:v>
                </c:pt>
                <c:pt idx="4">
                  <c:v>118.46235732875554</c:v>
                </c:pt>
                <c:pt idx="5">
                  <c:v>124.26091470234591</c:v>
                </c:pt>
                <c:pt idx="6">
                  <c:v>131.89254507158586</c:v>
                </c:pt>
                <c:pt idx="7">
                  <c:v>138.37141696027084</c:v>
                </c:pt>
                <c:pt idx="8">
                  <c:v>146.22590278035852</c:v>
                </c:pt>
                <c:pt idx="9">
                  <c:v>153.9647051630777</c:v>
                </c:pt>
                <c:pt idx="10">
                  <c:v>162.07141684039163</c:v>
                </c:pt>
                <c:pt idx="11">
                  <c:v>165.96785079354044</c:v>
                </c:pt>
                <c:pt idx="12">
                  <c:v>163.11208825986935</c:v>
                </c:pt>
                <c:pt idx="13">
                  <c:v>166.57659742043916</c:v>
                </c:pt>
                <c:pt idx="14">
                  <c:v>170.9023188235534</c:v>
                </c:pt>
                <c:pt idx="15">
                  <c:v>176.66503231344097</c:v>
                </c:pt>
                <c:pt idx="16">
                  <c:v>183.4380877827501</c:v>
                </c:pt>
                <c:pt idx="17">
                  <c:v>192.30543304566319</c:v>
                </c:pt>
                <c:pt idx="18">
                  <c:v>198.11693737390206</c:v>
                </c:pt>
              </c:numCache>
            </c:numRef>
          </c:val>
          <c:smooth val="1"/>
          <c:extLst>
            <c:ext xmlns:c16="http://schemas.microsoft.com/office/drawing/2014/chart" uri="{C3380CC4-5D6E-409C-BE32-E72D297353CC}">
              <c16:uniqueId val="{00000002-4F28-4FCC-9F27-A01C1943CD90}"/>
            </c:ext>
          </c:extLst>
        </c:ser>
        <c:dLbls>
          <c:showLegendKey val="0"/>
          <c:showVal val="0"/>
          <c:showCatName val="0"/>
          <c:showSerName val="0"/>
          <c:showPercent val="0"/>
          <c:showBubbleSize val="0"/>
        </c:dLbls>
        <c:smooth val="0"/>
        <c:axId val="315245704"/>
        <c:axId val="315246096"/>
      </c:lineChart>
      <c:catAx>
        <c:axId val="315245704"/>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5246096"/>
        <c:crosses val="autoZero"/>
        <c:auto val="1"/>
        <c:lblAlgn val="ctr"/>
        <c:lblOffset val="100"/>
        <c:noMultiLvlLbl val="0"/>
      </c:catAx>
      <c:valAx>
        <c:axId val="315246096"/>
        <c:scaling>
          <c:orientation val="minMax"/>
          <c:max val="220"/>
          <c:min val="8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b="1" dirty="0"/>
                  <a:t>GVA (1997 = 100)</a:t>
                </a:r>
              </a:p>
            </c:rich>
          </c:tx>
          <c:layout>
            <c:manualLayout>
              <c:xMode val="edge"/>
              <c:yMode val="edge"/>
              <c:x val="1.3888816384139828E-2"/>
              <c:y val="0.278346255311436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5245704"/>
        <c:crossesAt val="1"/>
        <c:crossBetween val="between"/>
      </c:valAx>
      <c:spPr>
        <a:noFill/>
        <a:ln>
          <a:noFill/>
        </a:ln>
        <a:effectLst/>
      </c:spPr>
    </c:plotArea>
    <c:legend>
      <c:legendPos val="b"/>
      <c:layout>
        <c:manualLayout>
          <c:xMode val="edge"/>
          <c:yMode val="edge"/>
          <c:x val="0.17649106016444077"/>
          <c:y val="0.91068758348940393"/>
          <c:w val="0.61405139982502188"/>
          <c:h val="8.7497768415039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76579714074588E-2"/>
          <c:y val="2.9921565807581138E-2"/>
          <c:w val="0.95961918223354536"/>
          <c:h val="0.84556585982307764"/>
        </c:manualLayout>
      </c:layout>
      <c:bubbleChart>
        <c:varyColors val="0"/>
        <c:ser>
          <c:idx val="0"/>
          <c:order val="0"/>
          <c:tx>
            <c:strRef>
              <c:f>Sheet1!$A$2</c:f>
              <c:strCache>
                <c:ptCount val="1"/>
                <c:pt idx="0">
                  <c:v>Information/Comms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1"/>
            <c:extLst>
              <c:ext xmlns:c16="http://schemas.microsoft.com/office/drawing/2014/chart" uri="{C3380CC4-5D6E-409C-BE32-E72D297353CC}">
                <c16:uniqueId val="{00000000-2D3B-4802-98F2-8BA6829AC636}"/>
              </c:ext>
            </c:extLst>
          </c:dPt>
          <c:dLbls>
            <c:dLbl>
              <c:idx val="0"/>
              <c:layout>
                <c:manualLayout>
                  <c:x val="-0.15591632197807742"/>
                  <c:y val="-0.10125893522568938"/>
                </c:manualLayout>
              </c:layout>
              <c:tx>
                <c:rich>
                  <a:bodyPr/>
                  <a:lstStyle/>
                  <a:p>
                    <a:fld id="{1126E061-E56D-42C8-BB40-F57C9E796221}"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layout>
                    <c:manualLayout>
                      <c:w val="0.23498554827243454"/>
                      <c:h val="9.0238683127572022E-2"/>
                    </c:manualLayout>
                  </c15:layout>
                  <c15:dlblFieldTable/>
                  <c15:showDataLabelsRange val="1"/>
                </c:ext>
                <c:ext xmlns:c16="http://schemas.microsoft.com/office/drawing/2014/chart" uri="{C3380CC4-5D6E-409C-BE32-E72D297353CC}">
                  <c16:uniqueId val="{00000000-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solidFill>
                        <a:schemeClr val="tx2"/>
                      </a:solidFill>
                    </a:ln>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f>
              <c:numCache>
                <c:formatCode>0%</c:formatCode>
                <c:ptCount val="1"/>
                <c:pt idx="0">
                  <c:v>0.14000000000000001</c:v>
                </c:pt>
              </c:numCache>
            </c:numRef>
          </c:xVal>
          <c:yVal>
            <c:numRef>
              <c:f>Sheet1!$D$2</c:f>
              <c:numCache>
                <c:formatCode>0%</c:formatCode>
                <c:ptCount val="1"/>
                <c:pt idx="0">
                  <c:v>0.81</c:v>
                </c:pt>
              </c:numCache>
            </c:numRef>
          </c:yVal>
          <c:bubbleSize>
            <c:numRef>
              <c:f>Sheet1!$B$2</c:f>
              <c:numCache>
                <c:formatCode>0</c:formatCode>
                <c:ptCount val="1"/>
                <c:pt idx="0">
                  <c:v>1060.104</c:v>
                </c:pt>
              </c:numCache>
            </c:numRef>
          </c:bubbleSize>
          <c:bubble3D val="1"/>
          <c:extLst>
            <c:ext xmlns:c15="http://schemas.microsoft.com/office/drawing/2012/chart" uri="{02D57815-91ED-43cb-92C2-25804820EDAC}">
              <c15:datalabelsRange>
                <c15:f>Sheet1!$A$2</c15:f>
                <c15:dlblRangeCache>
                  <c:ptCount val="1"/>
                  <c:pt idx="0">
                    <c:v>Information/Comms</c:v>
                  </c:pt>
                </c15:dlblRangeCache>
              </c15:datalabelsRange>
            </c:ext>
            <c:ext xmlns:c16="http://schemas.microsoft.com/office/drawing/2014/chart" uri="{C3380CC4-5D6E-409C-BE32-E72D297353CC}">
              <c16:uniqueId val="{00000001-2D3B-4802-98F2-8BA6829AC636}"/>
            </c:ext>
          </c:extLst>
        </c:ser>
        <c:ser>
          <c:idx val="1"/>
          <c:order val="1"/>
          <c:tx>
            <c:strRef>
              <c:f>Sheet1!$A$3</c:f>
              <c:strCache>
                <c:ptCount val="1"/>
                <c:pt idx="0">
                  <c:v>Accommodation/Food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8.8402981040982445E-2"/>
                  <c:y val="-9.6017108972489551E-2"/>
                </c:manualLayout>
              </c:layout>
              <c:tx>
                <c:rich>
                  <a:bodyPr/>
                  <a:lstStyle/>
                  <a:p>
                    <a:fld id="{050A2BC6-0B3F-440D-A673-0E0C821830F0}"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layout>
                    <c:manualLayout>
                      <c:w val="0.26864456079115767"/>
                      <c:h val="9.0238683127572022E-2"/>
                    </c:manualLayout>
                  </c15:layout>
                  <c15:dlblFieldTable/>
                  <c15:showDataLabelsRange val="1"/>
                </c:ext>
                <c:ext xmlns:c16="http://schemas.microsoft.com/office/drawing/2014/chart" uri="{C3380CC4-5D6E-409C-BE32-E72D297353CC}">
                  <c16:uniqueId val="{00000002-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Sheet1!$C$3</c:f>
              <c:numCache>
                <c:formatCode>0%</c:formatCode>
                <c:ptCount val="1"/>
                <c:pt idx="0">
                  <c:v>0.02</c:v>
                </c:pt>
              </c:numCache>
            </c:numRef>
          </c:xVal>
          <c:yVal>
            <c:numRef>
              <c:f>Sheet1!$D$3</c:f>
              <c:numCache>
                <c:formatCode>0%</c:formatCode>
                <c:ptCount val="1"/>
                <c:pt idx="0">
                  <c:v>0.78</c:v>
                </c:pt>
              </c:numCache>
            </c:numRef>
          </c:yVal>
          <c:bubbleSize>
            <c:numRef>
              <c:f>Sheet1!$B$3</c:f>
              <c:numCache>
                <c:formatCode>0</c:formatCode>
                <c:ptCount val="1"/>
                <c:pt idx="0">
                  <c:v>815.91610000000003</c:v>
                </c:pt>
              </c:numCache>
            </c:numRef>
          </c:bubbleSize>
          <c:bubble3D val="1"/>
          <c:extLst>
            <c:ext xmlns:c15="http://schemas.microsoft.com/office/drawing/2012/chart" uri="{02D57815-91ED-43cb-92C2-25804820EDAC}">
              <c15:datalabelsRange>
                <c15:f>Sheet1!$A$3</c15:f>
                <c15:dlblRangeCache>
                  <c:ptCount val="1"/>
                  <c:pt idx="0">
                    <c:v>Accommodation/Food</c:v>
                  </c:pt>
                </c15:dlblRangeCache>
              </c15:datalabelsRange>
            </c:ext>
            <c:ext xmlns:c16="http://schemas.microsoft.com/office/drawing/2014/chart" uri="{C3380CC4-5D6E-409C-BE32-E72D297353CC}">
              <c16:uniqueId val="{00000003-2D3B-4802-98F2-8BA6829AC636}"/>
            </c:ext>
          </c:extLst>
        </c:ser>
        <c:ser>
          <c:idx val="2"/>
          <c:order val="2"/>
          <c:tx>
            <c:strRef>
              <c:f>Sheet1!$A$4</c:f>
              <c:strCache>
                <c:ptCount val="1"/>
                <c:pt idx="0">
                  <c:v>Prof/Sci/Tech</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1904742273708019E-2"/>
                  <c:y val="-5.4471857684456108E-2"/>
                </c:manualLayout>
              </c:layout>
              <c:tx>
                <c:rich>
                  <a:bodyPr/>
                  <a:lstStyle/>
                  <a:p>
                    <a:fld id="{4260FD86-1FB3-439B-B2D8-79BE664E60E4}"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Sheet1!$C$4</c:f>
              <c:numCache>
                <c:formatCode>0%</c:formatCode>
                <c:ptCount val="1"/>
                <c:pt idx="0">
                  <c:v>0.18</c:v>
                </c:pt>
              </c:numCache>
            </c:numRef>
          </c:xVal>
          <c:yVal>
            <c:numRef>
              <c:f>Sheet1!$D$4</c:f>
              <c:numCache>
                <c:formatCode>0%</c:formatCode>
                <c:ptCount val="1"/>
                <c:pt idx="0">
                  <c:v>0.74</c:v>
                </c:pt>
              </c:numCache>
            </c:numRef>
          </c:yVal>
          <c:bubbleSize>
            <c:numRef>
              <c:f>Sheet1!$B$4</c:f>
              <c:numCache>
                <c:formatCode>0</c:formatCode>
                <c:ptCount val="1"/>
                <c:pt idx="0">
                  <c:v>1420.771</c:v>
                </c:pt>
              </c:numCache>
            </c:numRef>
          </c:bubbleSize>
          <c:bubble3D val="1"/>
          <c:extLst>
            <c:ext xmlns:c15="http://schemas.microsoft.com/office/drawing/2012/chart" uri="{02D57815-91ED-43cb-92C2-25804820EDAC}">
              <c15:datalabelsRange>
                <c15:f>Sheet1!$A$4</c15:f>
                <c15:dlblRangeCache>
                  <c:ptCount val="1"/>
                  <c:pt idx="0">
                    <c:v>Prof/Sci/Tech</c:v>
                  </c:pt>
                </c15:dlblRangeCache>
              </c15:datalabelsRange>
            </c:ext>
            <c:ext xmlns:c16="http://schemas.microsoft.com/office/drawing/2014/chart" uri="{C3380CC4-5D6E-409C-BE32-E72D297353CC}">
              <c16:uniqueId val="{00000005-2D3B-4802-98F2-8BA6829AC636}"/>
            </c:ext>
          </c:extLst>
        </c:ser>
        <c:ser>
          <c:idx val="3"/>
          <c:order val="3"/>
          <c:tx>
            <c:strRef>
              <c:f>Sheet1!$A$5</c:f>
              <c:strCache>
                <c:ptCount val="1"/>
                <c:pt idx="0">
                  <c:v>Financial/insurance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1"/>
            <c:extLst>
              <c:ext xmlns:c16="http://schemas.microsoft.com/office/drawing/2014/chart" uri="{C3380CC4-5D6E-409C-BE32-E72D297353CC}">
                <c16:uniqueId val="{00000006-2D3B-4802-98F2-8BA6829AC636}"/>
              </c:ext>
            </c:extLst>
          </c:dPt>
          <c:dLbls>
            <c:dLbl>
              <c:idx val="0"/>
              <c:layout>
                <c:manualLayout>
                  <c:x val="-6.9573147718733325E-2"/>
                  <c:y val="-7.1598641793712156E-2"/>
                </c:manualLayout>
              </c:layout>
              <c:tx>
                <c:rich>
                  <a:bodyPr/>
                  <a:lstStyle/>
                  <a:p>
                    <a:fld id="{EF3BD55A-113C-4604-9CD9-FC92DB0B6437}"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Sheet1!$C$5</c:f>
              <c:numCache>
                <c:formatCode>0%</c:formatCode>
                <c:ptCount val="1"/>
                <c:pt idx="0">
                  <c:v>0.01</c:v>
                </c:pt>
              </c:numCache>
            </c:numRef>
          </c:xVal>
          <c:yVal>
            <c:numRef>
              <c:f>Sheet1!$D$5</c:f>
              <c:numCache>
                <c:formatCode>0%</c:formatCode>
                <c:ptCount val="1"/>
                <c:pt idx="0">
                  <c:v>0.55000000000000004</c:v>
                </c:pt>
              </c:numCache>
            </c:numRef>
          </c:yVal>
          <c:bubbleSize>
            <c:numRef>
              <c:f>Sheet1!$B$5</c:f>
              <c:numCache>
                <c:formatCode>0</c:formatCode>
                <c:ptCount val="1"/>
                <c:pt idx="0">
                  <c:v>892.10749999999996</c:v>
                </c:pt>
              </c:numCache>
            </c:numRef>
          </c:bubbleSize>
          <c:bubble3D val="1"/>
          <c:extLst>
            <c:ext xmlns:c15="http://schemas.microsoft.com/office/drawing/2012/chart" uri="{02D57815-91ED-43cb-92C2-25804820EDAC}">
              <c15:datalabelsRange>
                <c15:f>Sheet1!$A$5</c15:f>
                <c15:dlblRangeCache>
                  <c:ptCount val="1"/>
                  <c:pt idx="0">
                    <c:v>Financial/insurance</c:v>
                  </c:pt>
                </c15:dlblRangeCache>
              </c15:datalabelsRange>
            </c:ext>
            <c:ext xmlns:c16="http://schemas.microsoft.com/office/drawing/2014/chart" uri="{C3380CC4-5D6E-409C-BE32-E72D297353CC}">
              <c16:uniqueId val="{00000007-2D3B-4802-98F2-8BA6829AC636}"/>
            </c:ext>
          </c:extLst>
        </c:ser>
        <c:ser>
          <c:idx val="4"/>
          <c:order val="4"/>
          <c:tx>
            <c:strRef>
              <c:f>Sheet1!$A$6</c:f>
              <c:strCache>
                <c:ptCount val="1"/>
                <c:pt idx="0">
                  <c:v>Real estate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25879026901742003"/>
                  <c:y val="-7.2978322154175226E-2"/>
                </c:manualLayout>
              </c:layout>
              <c:tx>
                <c:rich>
                  <a:bodyPr/>
                  <a:lstStyle/>
                  <a:p>
                    <a:fld id="{13143C6F-70BD-49DF-90D2-6D696AAB42B4}"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Sheet1!$C$6</c:f>
              <c:numCache>
                <c:formatCode>0%</c:formatCode>
                <c:ptCount val="1"/>
                <c:pt idx="0">
                  <c:v>0.17</c:v>
                </c:pt>
              </c:numCache>
            </c:numRef>
          </c:xVal>
          <c:yVal>
            <c:numRef>
              <c:f>Sheet1!$D$6</c:f>
              <c:numCache>
                <c:formatCode>0%</c:formatCode>
                <c:ptCount val="1"/>
                <c:pt idx="0">
                  <c:v>0.53</c:v>
                </c:pt>
              </c:numCache>
            </c:numRef>
          </c:yVal>
          <c:bubbleSize>
            <c:numRef>
              <c:f>Sheet1!$B$6</c:f>
              <c:numCache>
                <c:formatCode>0</c:formatCode>
                <c:ptCount val="1"/>
                <c:pt idx="0">
                  <c:v>2710.0320000000002</c:v>
                </c:pt>
              </c:numCache>
            </c:numRef>
          </c:bubbleSize>
          <c:bubble3D val="1"/>
          <c:extLst>
            <c:ext xmlns:c15="http://schemas.microsoft.com/office/drawing/2012/chart" uri="{02D57815-91ED-43cb-92C2-25804820EDAC}">
              <c15:datalabelsRange>
                <c15:f>Sheet1!$A$6</c15:f>
                <c15:dlblRangeCache>
                  <c:ptCount val="1"/>
                  <c:pt idx="0">
                    <c:v>Real estate </c:v>
                  </c:pt>
                </c15:dlblRangeCache>
              </c15:datalabelsRange>
            </c:ext>
            <c:ext xmlns:c16="http://schemas.microsoft.com/office/drawing/2014/chart" uri="{C3380CC4-5D6E-409C-BE32-E72D297353CC}">
              <c16:uniqueId val="{00000009-2D3B-4802-98F2-8BA6829AC636}"/>
            </c:ext>
          </c:extLst>
        </c:ser>
        <c:ser>
          <c:idx val="6"/>
          <c:order val="5"/>
          <c:tx>
            <c:strRef>
              <c:f>Sheet1!$A$8</c:f>
              <c:strCache>
                <c:ptCount val="1"/>
                <c:pt idx="0">
                  <c:v>Wholesale/retail trade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7.398476075676794E-3"/>
                  <c:y val="6.0945726736593214E-3"/>
                </c:manualLayout>
              </c:layout>
              <c:tx>
                <c:rich>
                  <a:bodyPr/>
                  <a:lstStyle/>
                  <a:p>
                    <a:fld id="{83DD74FE-BFC1-418E-873C-C05F1FC8D28D}"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Sheet1!$C$8</c:f>
              <c:numCache>
                <c:formatCode>0%</c:formatCode>
                <c:ptCount val="1"/>
                <c:pt idx="0">
                  <c:v>0.04</c:v>
                </c:pt>
              </c:numCache>
            </c:numRef>
          </c:xVal>
          <c:yVal>
            <c:numRef>
              <c:f>Sheet1!$D$8</c:f>
              <c:numCache>
                <c:formatCode>0%</c:formatCode>
                <c:ptCount val="1"/>
                <c:pt idx="0">
                  <c:v>0.48</c:v>
                </c:pt>
              </c:numCache>
            </c:numRef>
          </c:yVal>
          <c:bubbleSize>
            <c:numRef>
              <c:f>Sheet1!$B$8</c:f>
              <c:numCache>
                <c:formatCode>0</c:formatCode>
                <c:ptCount val="1"/>
                <c:pt idx="0">
                  <c:v>3626.6019999999999</c:v>
                </c:pt>
              </c:numCache>
            </c:numRef>
          </c:bubbleSize>
          <c:bubble3D val="1"/>
          <c:extLst>
            <c:ext xmlns:c15="http://schemas.microsoft.com/office/drawing/2012/chart" uri="{02D57815-91ED-43cb-92C2-25804820EDAC}">
              <c15:datalabelsRange>
                <c15:f>Sheet1!$A$8</c15:f>
                <c15:dlblRangeCache>
                  <c:ptCount val="1"/>
                  <c:pt idx="0">
                    <c:v>Wholesale/retail trade</c:v>
                  </c:pt>
                </c15:dlblRangeCache>
              </c15:datalabelsRange>
            </c:ext>
            <c:ext xmlns:c16="http://schemas.microsoft.com/office/drawing/2014/chart" uri="{C3380CC4-5D6E-409C-BE32-E72D297353CC}">
              <c16:uniqueId val="{0000000B-2D3B-4802-98F2-8BA6829AC636}"/>
            </c:ext>
          </c:extLst>
        </c:ser>
        <c:ser>
          <c:idx val="7"/>
          <c:order val="6"/>
          <c:tx>
            <c:strRef>
              <c:f>Sheet1!$A$9</c:f>
              <c:strCache>
                <c:ptCount val="1"/>
                <c:pt idx="0">
                  <c:v>Construction</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9.461008298371032E-2"/>
                  <c:y val="-0.10848124547962455"/>
                </c:manualLayout>
              </c:layout>
              <c:tx>
                <c:rich>
                  <a:bodyPr/>
                  <a:lstStyle/>
                  <a:p>
                    <a:fld id="{88AC8C05-A84D-4081-8C35-4B9499FAD234}"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Sheet1!$C$9</c:f>
              <c:numCache>
                <c:formatCode>0%</c:formatCode>
                <c:ptCount val="1"/>
                <c:pt idx="0">
                  <c:v>0.21</c:v>
                </c:pt>
              </c:numCache>
            </c:numRef>
          </c:xVal>
          <c:yVal>
            <c:numRef>
              <c:f>Sheet1!$D$9</c:f>
              <c:numCache>
                <c:formatCode>0%</c:formatCode>
                <c:ptCount val="1"/>
                <c:pt idx="0">
                  <c:v>0.43</c:v>
                </c:pt>
              </c:numCache>
            </c:numRef>
          </c:yVal>
          <c:bubbleSize>
            <c:numRef>
              <c:f>Sheet1!$B$9</c:f>
              <c:numCache>
                <c:formatCode>0</c:formatCode>
                <c:ptCount val="1"/>
                <c:pt idx="0">
                  <c:v>1834.635</c:v>
                </c:pt>
              </c:numCache>
            </c:numRef>
          </c:bubbleSize>
          <c:bubble3D val="1"/>
          <c:extLst>
            <c:ext xmlns:c15="http://schemas.microsoft.com/office/drawing/2012/chart" uri="{02D57815-91ED-43cb-92C2-25804820EDAC}">
              <c15:datalabelsRange>
                <c15:f>Sheet1!$A$9</c15:f>
                <c15:dlblRangeCache>
                  <c:ptCount val="1"/>
                  <c:pt idx="0">
                    <c:v>Construction</c:v>
                  </c:pt>
                </c15:dlblRangeCache>
              </c15:datalabelsRange>
            </c:ext>
            <c:ext xmlns:c16="http://schemas.microsoft.com/office/drawing/2014/chart" uri="{C3380CC4-5D6E-409C-BE32-E72D297353CC}">
              <c16:uniqueId val="{0000000D-2D3B-4802-98F2-8BA6829AC636}"/>
            </c:ext>
          </c:extLst>
        </c:ser>
        <c:ser>
          <c:idx val="8"/>
          <c:order val="7"/>
          <c:tx>
            <c:strRef>
              <c:f>Sheet1!$A$10</c:f>
              <c:strCache>
                <c:ptCount val="1"/>
                <c:pt idx="0">
                  <c:v>Admin/Support</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2601356767576828E-2"/>
                  <c:y val="7.2622533294449301E-2"/>
                </c:manualLayout>
              </c:layout>
              <c:tx>
                <c:rich>
                  <a:bodyPr rot="0" spcFirstLastPara="1" vertOverflow="ellipsis" vert="horz" wrap="square" lIns="38100" tIns="19050" rIns="38100" bIns="19050" anchor="ctr" anchorCtr="1"/>
                  <a:lstStyle/>
                  <a:p>
                    <a:pPr>
                      <a:defRPr sz="1000" b="0" i="0" u="none" strike="noStrike" kern="1200" baseline="0">
                        <a:solidFill>
                          <a:schemeClr val="tx1">
                            <a:lumMod val="75000"/>
                            <a:lumOff val="25000"/>
                          </a:schemeClr>
                        </a:solidFill>
                        <a:latin typeface="+mn-lt"/>
                        <a:ea typeface="+mn-ea"/>
                        <a:cs typeface="+mn-cs"/>
                      </a:defRPr>
                    </a:pPr>
                    <a:r>
                      <a:rPr lang="en-US" dirty="0"/>
                      <a:t>Admin/Support incl Technical</a:t>
                    </a:r>
                    <a:r>
                      <a:rPr lang="en-US" baseline="0" dirty="0"/>
                      <a:t> support</a:t>
                    </a:r>
                    <a:endParaRPr lang="en-US"/>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layout>
                    <c:manualLayout>
                      <c:w val="0.2231762652705061"/>
                      <c:h val="0.11260918311137032"/>
                    </c:manualLayout>
                  </c15:layout>
                </c:ext>
                <c:ext xmlns:c16="http://schemas.microsoft.com/office/drawing/2014/chart" uri="{C3380CC4-5D6E-409C-BE32-E72D297353CC}">
                  <c16:uniqueId val="{0000000E-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Sheet1!$C$10</c:f>
              <c:numCache>
                <c:formatCode>0%</c:formatCode>
                <c:ptCount val="1"/>
                <c:pt idx="0">
                  <c:v>0.22</c:v>
                </c:pt>
              </c:numCache>
            </c:numRef>
          </c:xVal>
          <c:yVal>
            <c:numRef>
              <c:f>Sheet1!$D$10</c:f>
              <c:numCache>
                <c:formatCode>0%</c:formatCode>
                <c:ptCount val="1"/>
                <c:pt idx="0">
                  <c:v>0.41</c:v>
                </c:pt>
              </c:numCache>
            </c:numRef>
          </c:yVal>
          <c:bubbleSize>
            <c:numRef>
              <c:f>Sheet1!$B$10</c:f>
              <c:numCache>
                <c:formatCode>0</c:formatCode>
                <c:ptCount val="1"/>
                <c:pt idx="0">
                  <c:v>1074.8989999999999</c:v>
                </c:pt>
              </c:numCache>
            </c:numRef>
          </c:bubbleSize>
          <c:bubble3D val="1"/>
          <c:extLst>
            <c:ext xmlns:c16="http://schemas.microsoft.com/office/drawing/2014/chart" uri="{C3380CC4-5D6E-409C-BE32-E72D297353CC}">
              <c16:uniqueId val="{0000000F-2D3B-4802-98F2-8BA6829AC636}"/>
            </c:ext>
          </c:extLst>
        </c:ser>
        <c:ser>
          <c:idx val="9"/>
          <c:order val="8"/>
          <c:tx>
            <c:strRef>
              <c:f>Sheet1!$A$11</c:f>
              <c:strCache>
                <c:ptCount val="1"/>
                <c:pt idx="0">
                  <c:v>Health &amp; social work </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571565596185294"/>
                  <c:y val="0.16640601406305694"/>
                </c:manualLayout>
              </c:layout>
              <c:tx>
                <c:rich>
                  <a:bodyPr/>
                  <a:lstStyle/>
                  <a:p>
                    <a:fld id="{0772B982-320D-4EA8-934C-370CFBA3C62F}"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Sheet1!$C$11</c:f>
              <c:numCache>
                <c:formatCode>0%</c:formatCode>
                <c:ptCount val="1"/>
                <c:pt idx="0">
                  <c:v>0.03</c:v>
                </c:pt>
              </c:numCache>
            </c:numRef>
          </c:xVal>
          <c:yVal>
            <c:numRef>
              <c:f>Sheet1!$D$11</c:f>
              <c:numCache>
                <c:formatCode>0%</c:formatCode>
                <c:ptCount val="1"/>
                <c:pt idx="0">
                  <c:v>0.39</c:v>
                </c:pt>
              </c:numCache>
            </c:numRef>
          </c:yVal>
          <c:bubbleSize>
            <c:numRef>
              <c:f>Sheet1!$B$11</c:f>
              <c:numCache>
                <c:formatCode>0</c:formatCode>
                <c:ptCount val="1"/>
                <c:pt idx="0">
                  <c:v>2665.9859999999999</c:v>
                </c:pt>
              </c:numCache>
            </c:numRef>
          </c:bubbleSize>
          <c:bubble3D val="1"/>
          <c:extLst>
            <c:ext xmlns:c15="http://schemas.microsoft.com/office/drawing/2012/chart" uri="{02D57815-91ED-43cb-92C2-25804820EDAC}">
              <c15:datalabelsRange>
                <c15:f>Sheet1!$A$11</c15:f>
                <c15:dlblRangeCache>
                  <c:ptCount val="1"/>
                  <c:pt idx="0">
                    <c:v>Health &amp; social work </c:v>
                  </c:pt>
                </c15:dlblRangeCache>
              </c15:datalabelsRange>
            </c:ext>
            <c:ext xmlns:c16="http://schemas.microsoft.com/office/drawing/2014/chart" uri="{C3380CC4-5D6E-409C-BE32-E72D297353CC}">
              <c16:uniqueId val="{00000011-2D3B-4802-98F2-8BA6829AC636}"/>
            </c:ext>
          </c:extLst>
        </c:ser>
        <c:ser>
          <c:idx val="10"/>
          <c:order val="9"/>
          <c:tx>
            <c:strRef>
              <c:f>Sheet1!$A$12</c:f>
              <c:strCache>
                <c:ptCount val="1"/>
                <c:pt idx="0">
                  <c:v>Arts/Entertainment</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6.6949427191044616E-2"/>
                  <c:y val="7.4950678695013179E-2"/>
                </c:manualLayout>
              </c:layout>
              <c:tx>
                <c:rich>
                  <a:bodyPr/>
                  <a:lstStyle/>
                  <a:p>
                    <a:fld id="{F1FA411B-C8CE-4D0B-BF4D-7D6A9EE7C227}"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Sheet1!$C$12</c:f>
              <c:numCache>
                <c:formatCode>0%</c:formatCode>
                <c:ptCount val="1"/>
                <c:pt idx="0">
                  <c:v>0.17</c:v>
                </c:pt>
              </c:numCache>
            </c:numRef>
          </c:xVal>
          <c:yVal>
            <c:numRef>
              <c:f>Sheet1!$D$12</c:f>
              <c:numCache>
                <c:formatCode>0%</c:formatCode>
                <c:ptCount val="1"/>
                <c:pt idx="0">
                  <c:v>0.35</c:v>
                </c:pt>
              </c:numCache>
            </c:numRef>
          </c:yVal>
          <c:bubbleSize>
            <c:numRef>
              <c:f>Sheet1!$B$12</c:f>
              <c:numCache>
                <c:formatCode>0</c:formatCode>
                <c:ptCount val="1"/>
                <c:pt idx="0">
                  <c:v>486.84190000000001</c:v>
                </c:pt>
              </c:numCache>
            </c:numRef>
          </c:bubbleSize>
          <c:bubble3D val="1"/>
          <c:extLst>
            <c:ext xmlns:c15="http://schemas.microsoft.com/office/drawing/2012/chart" uri="{02D57815-91ED-43cb-92C2-25804820EDAC}">
              <c15:datalabelsRange>
                <c15:f>Sheet1!$A$12</c15:f>
                <c15:dlblRangeCache>
                  <c:ptCount val="1"/>
                  <c:pt idx="0">
                    <c:v>Arts/Entertainment</c:v>
                  </c:pt>
                </c15:dlblRangeCache>
              </c15:datalabelsRange>
            </c:ext>
            <c:ext xmlns:c16="http://schemas.microsoft.com/office/drawing/2014/chart" uri="{C3380CC4-5D6E-409C-BE32-E72D297353CC}">
              <c16:uniqueId val="{00000013-2D3B-4802-98F2-8BA6829AC636}"/>
            </c:ext>
          </c:extLst>
        </c:ser>
        <c:ser>
          <c:idx val="12"/>
          <c:order val="10"/>
          <c:tx>
            <c:strRef>
              <c:f>Sheet1!$A$14</c:f>
              <c:strCache>
                <c:ptCount val="1"/>
                <c:pt idx="0">
                  <c:v>Other services</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8.6963061129935501E-2"/>
                  <c:y val="9.0729768946595082E-2"/>
                </c:manualLayout>
              </c:layout>
              <c:tx>
                <c:rich>
                  <a:bodyPr/>
                  <a:lstStyle/>
                  <a:p>
                    <a:fld id="{47C7AECC-CAE0-4BE1-B3DD-98DF01B7CBD8}"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2D3B-4802-98F2-8BA6829AC6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Sheet1!$C$14</c:f>
              <c:numCache>
                <c:formatCode>0%</c:formatCode>
                <c:ptCount val="1"/>
                <c:pt idx="0">
                  <c:v>0.14000000000000001</c:v>
                </c:pt>
              </c:numCache>
            </c:numRef>
          </c:xVal>
          <c:yVal>
            <c:numRef>
              <c:f>Sheet1!$D$14</c:f>
              <c:numCache>
                <c:formatCode>0%</c:formatCode>
                <c:ptCount val="1"/>
                <c:pt idx="0">
                  <c:v>0.3</c:v>
                </c:pt>
              </c:numCache>
            </c:numRef>
          </c:yVal>
          <c:bubbleSize>
            <c:numRef>
              <c:f>Sheet1!$B$14</c:f>
              <c:numCache>
                <c:formatCode>0</c:formatCode>
                <c:ptCount val="1"/>
                <c:pt idx="0">
                  <c:v>840.79499999999996</c:v>
                </c:pt>
              </c:numCache>
            </c:numRef>
          </c:bubbleSize>
          <c:bubble3D val="1"/>
          <c:extLst>
            <c:ext xmlns:c15="http://schemas.microsoft.com/office/drawing/2012/chart" uri="{02D57815-91ED-43cb-92C2-25804820EDAC}">
              <c15:datalabelsRange>
                <c15:f>Sheet1!$A$14</c15:f>
                <c15:dlblRangeCache>
                  <c:ptCount val="1"/>
                  <c:pt idx="0">
                    <c:v>Other services</c:v>
                  </c:pt>
                </c15:dlblRangeCache>
              </c15:datalabelsRange>
            </c:ext>
            <c:ext xmlns:c16="http://schemas.microsoft.com/office/drawing/2014/chart" uri="{C3380CC4-5D6E-409C-BE32-E72D297353CC}">
              <c16:uniqueId val="{00000015-2D3B-4802-98F2-8BA6829AC636}"/>
            </c:ext>
          </c:extLst>
        </c:ser>
        <c:dLbls>
          <c:dLblPos val="ctr"/>
          <c:showLegendKey val="0"/>
          <c:showVal val="1"/>
          <c:showCatName val="0"/>
          <c:showSerName val="0"/>
          <c:showPercent val="0"/>
          <c:showBubbleSize val="0"/>
        </c:dLbls>
        <c:bubbleScale val="100"/>
        <c:showNegBubbles val="0"/>
        <c:axId val="315246880"/>
        <c:axId val="315247272"/>
      </c:bubbleChart>
      <c:valAx>
        <c:axId val="315246880"/>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r>
                  <a:rPr lang="en-GB" b="1"/>
                  <a:t>Employment Change</a:t>
                </a:r>
              </a:p>
            </c:rich>
          </c:tx>
          <c:layout>
            <c:manualLayout>
              <c:xMode val="edge"/>
              <c:yMode val="edge"/>
              <c:x val="0.42635958463307272"/>
              <c:y val="0.94202469135802469"/>
            </c:manualLayout>
          </c:layout>
          <c:overlay val="0"/>
          <c:spPr>
            <a:noFill/>
            <a:ln>
              <a:noFill/>
            </a:ln>
            <a:effectLst/>
          </c:sp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5247272"/>
        <c:crosses val="autoZero"/>
        <c:crossBetween val="midCat"/>
      </c:valAx>
      <c:valAx>
        <c:axId val="31524727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r>
                  <a:rPr lang="en-GB" b="1"/>
                  <a:t>GVA Change</a:t>
                </a:r>
              </a:p>
            </c:rich>
          </c:tx>
          <c:layout>
            <c:manualLayout>
              <c:xMode val="edge"/>
              <c:yMode val="edge"/>
              <c:x val="4.6084670969011796E-2"/>
              <c:y val="0.37395855766172681"/>
            </c:manualLayout>
          </c:layout>
          <c:overlay val="0"/>
          <c:spPr>
            <a:noFill/>
            <a:ln>
              <a:noFill/>
            </a:ln>
            <a:effectLst/>
          </c:sp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5246880"/>
        <c:crosses val="autoZero"/>
        <c:crossBetween val="midCat"/>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19237954189739E-2"/>
          <c:y val="1.5871106338776458E-2"/>
          <c:w val="0.94105407838602384"/>
          <c:h val="0.95276631835153236"/>
        </c:manualLayout>
      </c:layout>
      <c:bubbleChart>
        <c:varyColors val="0"/>
        <c:ser>
          <c:idx val="3"/>
          <c:order val="0"/>
          <c:tx>
            <c:strRef>
              <c:f>'NewF6 - Expanders'!$A$5</c:f>
              <c:strCache>
                <c:ptCount val="1"/>
                <c:pt idx="0">
                  <c:v>Financial/insurance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1"/>
            <c:extLst>
              <c:ext xmlns:c16="http://schemas.microsoft.com/office/drawing/2014/chart" uri="{C3380CC4-5D6E-409C-BE32-E72D297353CC}">
                <c16:uniqueId val="{00000000-D1F4-473A-B80B-FF3A22A40BE4}"/>
              </c:ext>
            </c:extLst>
          </c:dPt>
          <c:dLbls>
            <c:dLbl>
              <c:idx val="0"/>
              <c:layout>
                <c:manualLayout>
                  <c:x val="-0.10282401410876163"/>
                  <c:y val="-7.4201774924549616E-2"/>
                </c:manualLayout>
              </c:layout>
              <c:tx>
                <c:rich>
                  <a:bodyPr/>
                  <a:lstStyle/>
                  <a:p>
                    <a:fld id="{3A64DE9C-7596-4E4C-A632-2DF2800D9B42}"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layout>
                    <c:manualLayout>
                      <c:w val="0.22906487591067384"/>
                      <c:h val="8.8490718321226791E-2"/>
                    </c:manualLayout>
                  </c15:layout>
                  <c15:dlblFieldTable/>
                  <c15:showDataLabelsRange val="1"/>
                </c:ext>
                <c:ext xmlns:c16="http://schemas.microsoft.com/office/drawing/2014/chart" uri="{C3380CC4-5D6E-409C-BE32-E72D297353CC}">
                  <c16:uniqueId val="{00000000-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'NewF6 - Expanders'!$C$5</c:f>
              <c:numCache>
                <c:formatCode>0%</c:formatCode>
                <c:ptCount val="1"/>
                <c:pt idx="0">
                  <c:v>-8.7972239353343168E-2</c:v>
                </c:pt>
              </c:numCache>
            </c:numRef>
          </c:xVal>
          <c:yVal>
            <c:numRef>
              <c:f>'NewF6 - Expanders'!$D$5</c:f>
              <c:numCache>
                <c:formatCode>0%</c:formatCode>
                <c:ptCount val="1"/>
                <c:pt idx="0">
                  <c:v>0.38813391088860666</c:v>
                </c:pt>
              </c:numCache>
            </c:numRef>
          </c:yVal>
          <c:bubbleSize>
            <c:numRef>
              <c:f>'NewF6 - Expanders'!$B$5</c:f>
              <c:numCache>
                <c:formatCode>0</c:formatCode>
                <c:ptCount val="1"/>
                <c:pt idx="0">
                  <c:v>712.56947578089466</c:v>
                </c:pt>
              </c:numCache>
            </c:numRef>
          </c:bubbleSize>
          <c:bubble3D val="1"/>
          <c:extLst>
            <c:ext xmlns:c15="http://schemas.microsoft.com/office/drawing/2012/chart" uri="{02D57815-91ED-43cb-92C2-25804820EDAC}">
              <c15:datalabelsRange>
                <c15:f>'NewF6 - Expanders'!$A$5</c15:f>
                <c15:dlblRangeCache>
                  <c:ptCount val="1"/>
                  <c:pt idx="0">
                    <c:v>Financial/insurance</c:v>
                  </c:pt>
                </c15:dlblRangeCache>
              </c15:datalabelsRange>
            </c:ext>
            <c:ext xmlns:c16="http://schemas.microsoft.com/office/drawing/2014/chart" uri="{C3380CC4-5D6E-409C-BE32-E72D297353CC}">
              <c16:uniqueId val="{00000001-D1F4-473A-B80B-FF3A22A40BE4}"/>
            </c:ext>
          </c:extLst>
        </c:ser>
        <c:ser>
          <c:idx val="5"/>
          <c:order val="1"/>
          <c:tx>
            <c:strRef>
              <c:f>'NewF6 - Expanders'!$A$7</c:f>
              <c:strCache>
                <c:ptCount val="1"/>
                <c:pt idx="0">
                  <c:v>Water supply/waste management</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3231585448384789"/>
                  <c:y val="-9.5346359448324827E-2"/>
                </c:manualLayout>
              </c:layout>
              <c:tx>
                <c:rich>
                  <a:bodyPr/>
                  <a:lstStyle/>
                  <a:p>
                    <a:fld id="{2B29A583-2B9A-49C0-9D81-8AFF7524A329}"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Expanders'!$C$7</c:f>
              <c:numCache>
                <c:formatCode>0%</c:formatCode>
                <c:ptCount val="1"/>
                <c:pt idx="0">
                  <c:v>-0.19441143328235813</c:v>
                </c:pt>
              </c:numCache>
            </c:numRef>
          </c:xVal>
          <c:yVal>
            <c:numRef>
              <c:f>'NewF6 - Expanders'!$D$7</c:f>
              <c:numCache>
                <c:formatCode>0%</c:formatCode>
                <c:ptCount val="1"/>
                <c:pt idx="0">
                  <c:v>0.32412674515707851</c:v>
                </c:pt>
              </c:numCache>
            </c:numRef>
          </c:yVal>
          <c:bubbleSize>
            <c:numRef>
              <c:f>'NewF6 - Expanders'!$B$7</c:f>
              <c:numCache>
                <c:formatCode>0</c:formatCode>
                <c:ptCount val="1"/>
                <c:pt idx="0">
                  <c:v>460.39087158656497</c:v>
                </c:pt>
              </c:numCache>
            </c:numRef>
          </c:bubbleSize>
          <c:bubble3D val="1"/>
          <c:extLst>
            <c:ext xmlns:c15="http://schemas.microsoft.com/office/drawing/2012/chart" uri="{02D57815-91ED-43cb-92C2-25804820EDAC}">
              <c15:datalabelsRange>
                <c15:f>'NewF6 - Expanders'!$A$7</c15:f>
                <c15:dlblRangeCache>
                  <c:ptCount val="1"/>
                  <c:pt idx="0">
                    <c:v>Water supply/waste management</c:v>
                  </c:pt>
                </c15:dlblRangeCache>
              </c15:datalabelsRange>
            </c:ext>
            <c:ext xmlns:c16="http://schemas.microsoft.com/office/drawing/2014/chart" uri="{C3380CC4-5D6E-409C-BE32-E72D297353CC}">
              <c16:uniqueId val="{00000003-D1F4-473A-B80B-FF3A22A40BE4}"/>
            </c:ext>
          </c:extLst>
        </c:ser>
        <c:ser>
          <c:idx val="11"/>
          <c:order val="2"/>
          <c:tx>
            <c:strRef>
              <c:f>'NewF6 - Expanders'!$A$13</c:f>
              <c:strCache>
                <c:ptCount val="1"/>
                <c:pt idx="0">
                  <c:v>Transport/Storage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0492392907908089"/>
                  <c:y val="9.411628631166867E-2"/>
                </c:manualLayout>
              </c:layout>
              <c:tx>
                <c:rich>
                  <a:bodyPr/>
                  <a:lstStyle/>
                  <a:p>
                    <a:fld id="{4BF4F174-33F5-4126-9D3B-09512041C993}"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Expanders'!$C$13</c:f>
              <c:numCache>
                <c:formatCode>0%</c:formatCode>
                <c:ptCount val="1"/>
                <c:pt idx="0">
                  <c:v>-2.9961990950245359E-2</c:v>
                </c:pt>
              </c:numCache>
            </c:numRef>
          </c:xVal>
          <c:yVal>
            <c:numRef>
              <c:f>'NewF6 - Expanders'!$D$13</c:f>
              <c:numCache>
                <c:formatCode>0%</c:formatCode>
                <c:ptCount val="1"/>
                <c:pt idx="0">
                  <c:v>0.22690030680206993</c:v>
                </c:pt>
              </c:numCache>
            </c:numRef>
          </c:yVal>
          <c:bubbleSize>
            <c:numRef>
              <c:f>'NewF6 - Expanders'!$B$13</c:f>
              <c:numCache>
                <c:formatCode>0</c:formatCode>
                <c:ptCount val="1"/>
                <c:pt idx="0">
                  <c:v>1023.2181390040902</c:v>
                </c:pt>
              </c:numCache>
            </c:numRef>
          </c:bubbleSize>
          <c:bubble3D val="1"/>
          <c:extLst>
            <c:ext xmlns:c15="http://schemas.microsoft.com/office/drawing/2012/chart" uri="{02D57815-91ED-43cb-92C2-25804820EDAC}">
              <c15:datalabelsRange>
                <c15:f>'NewF6 - Expanders'!$A$13</c15:f>
                <c15:dlblRangeCache>
                  <c:ptCount val="1"/>
                  <c:pt idx="0">
                    <c:v>Transport/Storage</c:v>
                  </c:pt>
                </c15:dlblRangeCache>
              </c15:datalabelsRange>
            </c:ext>
            <c:ext xmlns:c16="http://schemas.microsoft.com/office/drawing/2014/chart" uri="{C3380CC4-5D6E-409C-BE32-E72D297353CC}">
              <c16:uniqueId val="{00000005-D1F4-473A-B80B-FF3A22A40BE4}"/>
            </c:ext>
          </c:extLst>
        </c:ser>
        <c:ser>
          <c:idx val="13"/>
          <c:order val="3"/>
          <c:tx>
            <c:strRef>
              <c:f>'NewF6 - Expanders'!$A$15</c:f>
              <c:strCache>
                <c:ptCount val="1"/>
                <c:pt idx="0">
                  <c:v>Electricity/gas/steam supply</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33532797257788832"/>
                  <c:y val="4.7871982103931928E-3"/>
                </c:manualLayout>
              </c:layout>
              <c:tx>
                <c:rich>
                  <a:bodyPr/>
                  <a:lstStyle/>
                  <a:p>
                    <a:fld id="{DFF7B2FB-B635-4D9D-B0C9-94F6E3836D09}"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layout>
                    <c:manualLayout>
                      <c:w val="0.28785529859704928"/>
                      <c:h val="8.8490718321226791E-2"/>
                    </c:manualLayout>
                  </c15:layout>
                  <c15:dlblFieldTable/>
                  <c15:showDataLabelsRange val="1"/>
                </c:ext>
                <c:ext xmlns:c16="http://schemas.microsoft.com/office/drawing/2014/chart" uri="{C3380CC4-5D6E-409C-BE32-E72D297353CC}">
                  <c16:uniqueId val="{00000006-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Expanders'!$C$15</c:f>
              <c:numCache>
                <c:formatCode>0%</c:formatCode>
                <c:ptCount val="1"/>
                <c:pt idx="0">
                  <c:v>-0.28519496419057844</c:v>
                </c:pt>
              </c:numCache>
            </c:numRef>
          </c:xVal>
          <c:yVal>
            <c:numRef>
              <c:f>'NewF6 - Expanders'!$D$15</c:f>
              <c:numCache>
                <c:formatCode>0%</c:formatCode>
                <c:ptCount val="1"/>
                <c:pt idx="0">
                  <c:v>0.34513349452739234</c:v>
                </c:pt>
              </c:numCache>
            </c:numRef>
          </c:yVal>
          <c:bubbleSize>
            <c:numRef>
              <c:f>'NewF6 - Expanders'!$B$15</c:f>
              <c:numCache>
                <c:formatCode>0</c:formatCode>
                <c:ptCount val="1"/>
                <c:pt idx="0">
                  <c:v>273.8343603176146</c:v>
                </c:pt>
              </c:numCache>
            </c:numRef>
          </c:bubbleSize>
          <c:bubble3D val="1"/>
          <c:extLst>
            <c:ext xmlns:c15="http://schemas.microsoft.com/office/drawing/2012/chart" uri="{02D57815-91ED-43cb-92C2-25804820EDAC}">
              <c15:datalabelsRange>
                <c15:f>'NewF6 - Expanders'!$A$15</c15:f>
                <c15:dlblRangeCache>
                  <c:ptCount val="1"/>
                  <c:pt idx="0">
                    <c:v>Electricity/gas/steam supply</c:v>
                  </c:pt>
                </c15:dlblRangeCache>
              </c15:datalabelsRange>
            </c:ext>
            <c:ext xmlns:c16="http://schemas.microsoft.com/office/drawing/2014/chart" uri="{C3380CC4-5D6E-409C-BE32-E72D297353CC}">
              <c16:uniqueId val="{00000007-D1F4-473A-B80B-FF3A22A40BE4}"/>
            </c:ext>
          </c:extLst>
        </c:ser>
        <c:ser>
          <c:idx val="14"/>
          <c:order val="4"/>
          <c:tx>
            <c:strRef>
              <c:f>'NewF6 - Expanders'!$A$16</c:f>
              <c:strCache>
                <c:ptCount val="1"/>
                <c:pt idx="0">
                  <c:v>Manufacturing</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38842340498028483"/>
                  <c:y val="2.216900853495014E-2"/>
                </c:manualLayout>
              </c:layout>
              <c:tx>
                <c:rich>
                  <a:bodyPr/>
                  <a:lstStyle/>
                  <a:p>
                    <a:fld id="{DEE90FEB-3B91-4519-AD15-BD8D47008322}"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Expanders'!$C$16</c:f>
              <c:numCache>
                <c:formatCode>0%</c:formatCode>
                <c:ptCount val="1"/>
                <c:pt idx="0">
                  <c:v>-0.24038297796952779</c:v>
                </c:pt>
              </c:numCache>
            </c:numRef>
          </c:xVal>
          <c:yVal>
            <c:numRef>
              <c:f>'NewF6 - Expanders'!$D$16</c:f>
              <c:numCache>
                <c:formatCode>0%</c:formatCode>
                <c:ptCount val="1"/>
                <c:pt idx="0">
                  <c:v>0.19831309657310994</c:v>
                </c:pt>
              </c:numCache>
            </c:numRef>
          </c:yVal>
          <c:bubbleSize>
            <c:numRef>
              <c:f>'NewF6 - Expanders'!$B$16</c:f>
              <c:numCache>
                <c:formatCode>0</c:formatCode>
                <c:ptCount val="1"/>
                <c:pt idx="0">
                  <c:v>4965.7691079431515</c:v>
                </c:pt>
              </c:numCache>
            </c:numRef>
          </c:bubbleSize>
          <c:bubble3D val="1"/>
          <c:extLst>
            <c:ext xmlns:c15="http://schemas.microsoft.com/office/drawing/2012/chart" uri="{02D57815-91ED-43cb-92C2-25804820EDAC}">
              <c15:datalabelsRange>
                <c15:f>'NewF6 - Expanders'!$A$16</c15:f>
                <c15:dlblRangeCache>
                  <c:ptCount val="1"/>
                  <c:pt idx="0">
                    <c:v>Manufacturing</c:v>
                  </c:pt>
                </c15:dlblRangeCache>
              </c15:datalabelsRange>
            </c:ext>
            <c:ext xmlns:c16="http://schemas.microsoft.com/office/drawing/2014/chart" uri="{C3380CC4-5D6E-409C-BE32-E72D297353CC}">
              <c16:uniqueId val="{00000009-D1F4-473A-B80B-FF3A22A40BE4}"/>
            </c:ext>
          </c:extLst>
        </c:ser>
        <c:ser>
          <c:idx val="15"/>
          <c:order val="5"/>
          <c:tx>
            <c:strRef>
              <c:f>'NewF6 - Expanders'!$A$17</c:f>
              <c:strCache>
                <c:ptCount val="1"/>
                <c:pt idx="0">
                  <c:v>Mining/Quarrying</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8.9551245469386129E-2"/>
                  <c:y val="5.2037929037320081E-2"/>
                </c:manualLayout>
              </c:layout>
              <c:tx>
                <c:rich>
                  <a:bodyPr/>
                  <a:lstStyle/>
                  <a:p>
                    <a:r>
                      <a:rPr lang="en-US"/>
                      <a:t>Mining/Quarrying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Expanders'!$C$17</c:f>
              <c:numCache>
                <c:formatCode>0%</c:formatCode>
                <c:ptCount val="1"/>
                <c:pt idx="0">
                  <c:v>-0.51914523038221294</c:v>
                </c:pt>
              </c:numCache>
            </c:numRef>
          </c:xVal>
          <c:yVal>
            <c:numRef>
              <c:f>'NewF6 - Expanders'!$D$17</c:f>
              <c:numCache>
                <c:formatCode>0%</c:formatCode>
                <c:ptCount val="1"/>
                <c:pt idx="0">
                  <c:v>-7.5129627700237678E-2</c:v>
                </c:pt>
              </c:numCache>
            </c:numRef>
          </c:yVal>
          <c:bubbleSize>
            <c:numRef>
              <c:f>'NewF6 - Expanders'!$B$17</c:f>
              <c:numCache>
                <c:formatCode>0</c:formatCode>
                <c:ptCount val="1"/>
                <c:pt idx="0">
                  <c:v>63.269157849309053</c:v>
                </c:pt>
              </c:numCache>
            </c:numRef>
          </c:bubbleSize>
          <c:bubble3D val="1"/>
          <c:extLst>
            <c:ext xmlns:c16="http://schemas.microsoft.com/office/drawing/2014/chart" uri="{C3380CC4-5D6E-409C-BE32-E72D297353CC}">
              <c16:uniqueId val="{0000000B-D1F4-473A-B80B-FF3A22A40BE4}"/>
            </c:ext>
          </c:extLst>
        </c:ser>
        <c:ser>
          <c:idx val="16"/>
          <c:order val="6"/>
          <c:tx>
            <c:strRef>
              <c:f>'NewF6 - Expanders'!$A$18</c:f>
              <c:strCache>
                <c:ptCount val="1"/>
                <c:pt idx="0">
                  <c:v>Agriculture</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1"/>
            <c:extLst>
              <c:ext xmlns:c16="http://schemas.microsoft.com/office/drawing/2014/chart" uri="{C3380CC4-5D6E-409C-BE32-E72D297353CC}">
                <c16:uniqueId val="{0000000C-D1F4-473A-B80B-FF3A22A40BE4}"/>
              </c:ext>
            </c:extLst>
          </c:dPt>
          <c:dLbls>
            <c:dLbl>
              <c:idx val="0"/>
              <c:tx>
                <c:rich>
                  <a:bodyPr/>
                  <a:lstStyle/>
                  <a:p>
                    <a:fld id="{0A668F4A-12D6-48AE-8E6C-51475DC57818}" type="CELLRANGE">
                      <a:rPr lang="en-US"/>
                      <a:pPr/>
                      <a:t>[CELLRANGE]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Expanders'!$C$18</c:f>
              <c:numCache>
                <c:formatCode>0%</c:formatCode>
                <c:ptCount val="1"/>
                <c:pt idx="0">
                  <c:v>-0.204285065897271</c:v>
                </c:pt>
              </c:numCache>
            </c:numRef>
          </c:xVal>
          <c:yVal>
            <c:numRef>
              <c:f>'NewF6 - Expanders'!$D$18</c:f>
              <c:numCache>
                <c:formatCode>0%</c:formatCode>
                <c:ptCount val="1"/>
                <c:pt idx="0">
                  <c:v>1.9291409527300518E-2</c:v>
                </c:pt>
              </c:numCache>
            </c:numRef>
          </c:yVal>
          <c:bubbleSize>
            <c:numRef>
              <c:f>'NewF6 - Expanders'!$B$18</c:f>
              <c:numCache>
                <c:formatCode>0</c:formatCode>
                <c:ptCount val="1"/>
                <c:pt idx="0">
                  <c:v>230.1623882828213</c:v>
                </c:pt>
              </c:numCache>
            </c:numRef>
          </c:bubbleSize>
          <c:bubble3D val="1"/>
          <c:extLst>
            <c:ext xmlns:c15="http://schemas.microsoft.com/office/drawing/2012/chart" uri="{02D57815-91ED-43cb-92C2-25804820EDAC}">
              <c15:datalabelsRange>
                <c15:f>'NewF6 - Expanders'!$A$18</c15:f>
                <c15:dlblRangeCache>
                  <c:ptCount val="1"/>
                  <c:pt idx="0">
                    <c:v>Agriculture</c:v>
                  </c:pt>
                </c15:dlblRangeCache>
              </c15:datalabelsRange>
            </c:ext>
            <c:ext xmlns:c16="http://schemas.microsoft.com/office/drawing/2014/chart" uri="{C3380CC4-5D6E-409C-BE32-E72D297353CC}">
              <c16:uniqueId val="{0000000D-D1F4-473A-B80B-FF3A22A40BE4}"/>
            </c:ext>
          </c:extLst>
        </c:ser>
        <c:ser>
          <c:idx val="17"/>
          <c:order val="7"/>
          <c:tx>
            <c:strRef>
              <c:f>'NewF6 - Expanders'!$A$19</c:f>
              <c:strCache>
                <c:ptCount val="1"/>
                <c:pt idx="0">
                  <c:v>Education</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24401297202547251"/>
                  <c:y val="-6.4568200161420494E-2"/>
                </c:manualLayout>
              </c:layout>
              <c:tx>
                <c:rich>
                  <a:bodyPr/>
                  <a:lstStyle/>
                  <a:p>
                    <a:fld id="{406D9987-D7D3-44A1-BFDE-015C2D7F2CC5}"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Expanders'!$C$19</c:f>
              <c:numCache>
                <c:formatCode>0%</c:formatCode>
                <c:ptCount val="1"/>
                <c:pt idx="0">
                  <c:v>-4.4654395967483614E-2</c:v>
                </c:pt>
              </c:numCache>
            </c:numRef>
          </c:xVal>
          <c:yVal>
            <c:numRef>
              <c:f>'NewF6 - Expanders'!$D$19</c:f>
              <c:numCache>
                <c:formatCode>0%</c:formatCode>
                <c:ptCount val="1"/>
                <c:pt idx="0">
                  <c:v>2.1989355794311171E-2</c:v>
                </c:pt>
              </c:numCache>
            </c:numRef>
          </c:yVal>
          <c:bubbleSize>
            <c:numRef>
              <c:f>'NewF6 - Expanders'!$B$19</c:f>
              <c:numCache>
                <c:formatCode>0</c:formatCode>
                <c:ptCount val="1"/>
                <c:pt idx="0">
                  <c:v>2001.0156582583077</c:v>
                </c:pt>
              </c:numCache>
            </c:numRef>
          </c:bubbleSize>
          <c:bubble3D val="1"/>
          <c:extLst>
            <c:ext xmlns:c15="http://schemas.microsoft.com/office/drawing/2012/chart" uri="{02D57815-91ED-43cb-92C2-25804820EDAC}">
              <c15:datalabelsRange>
                <c15:f>'NewF6 - Expanders'!$A$19</c15:f>
                <c15:dlblRangeCache>
                  <c:ptCount val="1"/>
                  <c:pt idx="0">
                    <c:v>Education</c:v>
                  </c:pt>
                </c15:dlblRangeCache>
              </c15:datalabelsRange>
            </c:ext>
            <c:ext xmlns:c16="http://schemas.microsoft.com/office/drawing/2014/chart" uri="{C3380CC4-5D6E-409C-BE32-E72D297353CC}">
              <c16:uniqueId val="{0000000F-D1F4-473A-B80B-FF3A22A40BE4}"/>
            </c:ext>
          </c:extLst>
        </c:ser>
        <c:ser>
          <c:idx val="18"/>
          <c:order val="8"/>
          <c:tx>
            <c:strRef>
              <c:f>'NewF6 - Expanders'!$A$20</c:f>
              <c:strCache>
                <c:ptCount val="1"/>
                <c:pt idx="0">
                  <c:v>Public admin &amp; defence</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4049097651144141"/>
                  <c:y val="7.4201774924549588E-2"/>
                </c:manualLayout>
              </c:layout>
              <c:tx>
                <c:rich>
                  <a:bodyPr/>
                  <a:lstStyle/>
                  <a:p>
                    <a:fld id="{7B139631-F20A-4D8F-987F-630E0524BA97}" type="CELLRANGE">
                      <a:rPr lang="en-US"/>
                      <a:pPr/>
                      <a:t>[CELLRANGE]</a:t>
                    </a:fld>
                    <a:endParaRPr lang="en-GB"/>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D1F4-473A-B80B-FF3A22A40B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Expanders'!$C$20</c:f>
              <c:numCache>
                <c:formatCode>0%</c:formatCode>
                <c:ptCount val="1"/>
                <c:pt idx="0">
                  <c:v>-0.16793337397476071</c:v>
                </c:pt>
              </c:numCache>
            </c:numRef>
          </c:xVal>
          <c:yVal>
            <c:numRef>
              <c:f>'NewF6 - Expanders'!$D$20</c:f>
              <c:numCache>
                <c:formatCode>0%</c:formatCode>
                <c:ptCount val="1"/>
                <c:pt idx="0">
                  <c:v>-0.105912456459057</c:v>
                </c:pt>
              </c:numCache>
            </c:numRef>
          </c:yVal>
          <c:bubbleSize>
            <c:numRef>
              <c:f>'NewF6 - Expanders'!$B$20</c:f>
              <c:numCache>
                <c:formatCode>0</c:formatCode>
                <c:ptCount val="1"/>
                <c:pt idx="0">
                  <c:v>1217.5940383463762</c:v>
                </c:pt>
              </c:numCache>
            </c:numRef>
          </c:bubbleSize>
          <c:bubble3D val="1"/>
          <c:extLst>
            <c:ext xmlns:c15="http://schemas.microsoft.com/office/drawing/2012/chart" uri="{02D57815-91ED-43cb-92C2-25804820EDAC}">
              <c15:datalabelsRange>
                <c15:f>'NewF6 - Expanders'!$A$20</c15:f>
                <c15:dlblRangeCache>
                  <c:ptCount val="1"/>
                  <c:pt idx="0">
                    <c:v>Public admin &amp; defence</c:v>
                  </c:pt>
                </c15:dlblRangeCache>
              </c15:datalabelsRange>
            </c:ext>
            <c:ext xmlns:c16="http://schemas.microsoft.com/office/drawing/2014/chart" uri="{C3380CC4-5D6E-409C-BE32-E72D297353CC}">
              <c16:uniqueId val="{00000011-D1F4-473A-B80B-FF3A22A40BE4}"/>
            </c:ext>
          </c:extLst>
        </c:ser>
        <c:dLbls>
          <c:dLblPos val="ctr"/>
          <c:showLegendKey val="0"/>
          <c:showVal val="1"/>
          <c:showCatName val="0"/>
          <c:showSerName val="0"/>
          <c:showPercent val="0"/>
          <c:showBubbleSize val="0"/>
        </c:dLbls>
        <c:bubbleScale val="100"/>
        <c:showNegBubbles val="0"/>
        <c:axId val="315248056"/>
        <c:axId val="315248448"/>
      </c:bubbleChart>
      <c:valAx>
        <c:axId val="315248056"/>
        <c:scaling>
          <c:orientation val="minMax"/>
          <c:max val="0.1"/>
          <c:min val="-0.60000000000000009"/>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1"/>
                  <a:t>Employment Change</a:t>
                </a:r>
              </a:p>
            </c:rich>
          </c:tx>
          <c:layout>
            <c:manualLayout>
              <c:xMode val="edge"/>
              <c:yMode val="edge"/>
              <c:x val="4.7423652871123718E-2"/>
              <c:y val="0.68396713122724062"/>
            </c:manualLayout>
          </c:layout>
          <c:overlay val="0"/>
          <c:spPr>
            <a:noFill/>
            <a:ln>
              <a:noFill/>
            </a:ln>
            <a:effectLst/>
          </c:sp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5248448"/>
        <c:crosses val="autoZero"/>
        <c:crossBetween val="midCat"/>
      </c:valAx>
      <c:valAx>
        <c:axId val="315248448"/>
        <c:scaling>
          <c:orientation val="minMax"/>
          <c:max val="0.60000000000000009"/>
          <c:min val="-0.2"/>
        </c:scaling>
        <c:delete val="0"/>
        <c:axPos val="l"/>
        <c:majorGridlines>
          <c:spPr>
            <a:ln w="9525">
              <a:solidFill>
                <a:schemeClr val="tx1">
                  <a:lumMod val="15000"/>
                  <a:lumOff val="85000"/>
                </a:schemeClr>
              </a:solidFill>
              <a:round/>
            </a:ln>
            <a:effectLst/>
          </c:spPr>
        </c:majorGridlines>
        <c:title>
          <c:tx>
            <c:rich>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1"/>
                  <a:t>GVA Change</a:t>
                </a:r>
              </a:p>
            </c:rich>
          </c:tx>
          <c:layout>
            <c:manualLayout>
              <c:xMode val="edge"/>
              <c:yMode val="edge"/>
              <c:x val="0.85603112840466922"/>
              <c:y val="0.2944139609667436"/>
            </c:manualLayout>
          </c:layout>
          <c:overlay val="0"/>
          <c:spPr>
            <a:noFill/>
            <a:ln>
              <a:noFill/>
            </a:ln>
            <a:effectLst/>
          </c:sp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5248056"/>
        <c:crosses val="autoZero"/>
        <c:crossBetween val="midCat"/>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CC366E89FD43198323215510B41C93"/>
        <w:category>
          <w:name w:val="General"/>
          <w:gallery w:val="placeholder"/>
        </w:category>
        <w:types>
          <w:type w:val="bbPlcHdr"/>
        </w:types>
        <w:behaviors>
          <w:behavior w:val="content"/>
        </w:behaviors>
        <w:guid w:val="{266B5431-6613-4400-91FA-F1E8D893B81C}"/>
      </w:docPartPr>
      <w:docPartBody>
        <w:p w:rsidR="00C5153F" w:rsidRDefault="00000000">
          <w:pPr>
            <w:pStyle w:val="7ECC366E89FD43198323215510B41C93"/>
          </w:pPr>
          <w:r w:rsidRPr="004F0F35">
            <w:rPr>
              <w:rStyle w:val="PlaceholderText"/>
            </w:rPr>
            <w:t>[Title]</w:t>
          </w:r>
        </w:p>
      </w:docPartBody>
    </w:docPart>
    <w:docPart>
      <w:docPartPr>
        <w:name w:val="28D9EE1FEC0142579E6CDCDD656B3F6D"/>
        <w:category>
          <w:name w:val="General"/>
          <w:gallery w:val="placeholder"/>
        </w:category>
        <w:types>
          <w:type w:val="bbPlcHdr"/>
        </w:types>
        <w:behaviors>
          <w:behavior w:val="content"/>
        </w:behaviors>
        <w:guid w:val="{23AB403D-75F9-4117-8CD5-6F916F1C9F49}"/>
      </w:docPartPr>
      <w:docPartBody>
        <w:p w:rsidR="00C5153F" w:rsidRDefault="00000000">
          <w:pPr>
            <w:pStyle w:val="28D9EE1FEC0142579E6CDCDD656B3F6D"/>
          </w:pPr>
          <w:r w:rsidRPr="000A7C6C">
            <w:rPr>
              <w:rStyle w:val="PlaceholderText"/>
            </w:rPr>
            <w:t>[Company]</w:t>
          </w:r>
        </w:p>
      </w:docPartBody>
    </w:docPart>
    <w:docPart>
      <w:docPartPr>
        <w:name w:val="704514A7FAE6402CA9A95E7CE3BFA790"/>
        <w:category>
          <w:name w:val="General"/>
          <w:gallery w:val="placeholder"/>
        </w:category>
        <w:types>
          <w:type w:val="bbPlcHdr"/>
        </w:types>
        <w:behaviors>
          <w:behavior w:val="content"/>
        </w:behaviors>
        <w:guid w:val="{B421AF2D-FC1E-4626-B606-374E68877E8D}"/>
      </w:docPartPr>
      <w:docPartBody>
        <w:p w:rsidR="00C5153F" w:rsidRDefault="00000000">
          <w:pPr>
            <w:pStyle w:val="704514A7FAE6402CA9A95E7CE3BFA790"/>
          </w:pPr>
          <w:r w:rsidRPr="000A7C6C">
            <w:rPr>
              <w:rStyle w:val="PlaceholderText"/>
            </w:rPr>
            <w:t>[Category]</w:t>
          </w:r>
        </w:p>
      </w:docPartBody>
    </w:docPart>
    <w:docPart>
      <w:docPartPr>
        <w:name w:val="4425797EC2C9449FB144A017C89750FC"/>
        <w:category>
          <w:name w:val="General"/>
          <w:gallery w:val="placeholder"/>
        </w:category>
        <w:types>
          <w:type w:val="bbPlcHdr"/>
        </w:types>
        <w:behaviors>
          <w:behavior w:val="content"/>
        </w:behaviors>
        <w:guid w:val="{73B5D54A-4110-45D5-BFBF-9ADC32D67011}"/>
      </w:docPartPr>
      <w:docPartBody>
        <w:p w:rsidR="00C5153F" w:rsidRDefault="00000000">
          <w:pPr>
            <w:pStyle w:val="4425797EC2C9449FB144A017C89750FC"/>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E470D076D5274252AF9279DEA7DD049B"/>
        <w:category>
          <w:name w:val="General"/>
          <w:gallery w:val="placeholder"/>
        </w:category>
        <w:types>
          <w:type w:val="bbPlcHdr"/>
        </w:types>
        <w:behaviors>
          <w:behavior w:val="content"/>
        </w:behaviors>
        <w:guid w:val="{FCF05580-5683-4A23-AF0A-A8A12DD555BC}"/>
      </w:docPartPr>
      <w:docPartBody>
        <w:p w:rsidR="00C5153F" w:rsidRDefault="00000000">
          <w:pPr>
            <w:pStyle w:val="E470D076D5274252AF9279DEA7DD049B"/>
          </w:pPr>
          <w:r>
            <w:t xml:space="preserve">Our ref: </w:t>
          </w:r>
        </w:p>
      </w:docPartBody>
    </w:docPart>
    <w:docPart>
      <w:docPartPr>
        <w:name w:val="7DCC3749595E49A8BC773D85C96E69A7"/>
        <w:category>
          <w:name w:val="General"/>
          <w:gallery w:val="placeholder"/>
        </w:category>
        <w:types>
          <w:type w:val="bbPlcHdr"/>
        </w:types>
        <w:behaviors>
          <w:behavior w:val="content"/>
        </w:behaviors>
        <w:guid w:val="{AD2EDD72-984F-4C25-B264-4B99E20AB790}"/>
      </w:docPartPr>
      <w:docPartBody>
        <w:p w:rsidR="00C5153F" w:rsidRDefault="00000000">
          <w:pPr>
            <w:pStyle w:val="7DCC3749595E49A8BC773D85C96E69A7"/>
          </w:pPr>
          <w:r w:rsidRPr="00BC5EE2">
            <w:rPr>
              <w:rStyle w:val="PlaceholderText"/>
            </w:rPr>
            <w:t>Click here to enter text.</w:t>
          </w:r>
        </w:p>
      </w:docPartBody>
    </w:docPart>
    <w:docPart>
      <w:docPartPr>
        <w:name w:val="24D1114C4DE74ADB890D0C2AA7F21CE7"/>
        <w:category>
          <w:name w:val="General"/>
          <w:gallery w:val="placeholder"/>
        </w:category>
        <w:types>
          <w:type w:val="bbPlcHdr"/>
        </w:types>
        <w:behaviors>
          <w:behavior w:val="content"/>
        </w:behaviors>
        <w:guid w:val="{4A726B67-51CF-4467-AC08-3F6FCA07B10D}"/>
      </w:docPartPr>
      <w:docPartBody>
        <w:p w:rsidR="00C5153F" w:rsidRDefault="00000000">
          <w:pPr>
            <w:pStyle w:val="24D1114C4DE74ADB890D0C2AA7F21CE7"/>
          </w:pPr>
          <w:r>
            <w:t xml:space="preserve">Client ref: </w:t>
          </w:r>
        </w:p>
      </w:docPartBody>
    </w:docPart>
    <w:docPart>
      <w:docPartPr>
        <w:name w:val="4495D0BFA02A4EA08E33E57FA9F91361"/>
        <w:category>
          <w:name w:val="General"/>
          <w:gallery w:val="placeholder"/>
        </w:category>
        <w:types>
          <w:type w:val="bbPlcHdr"/>
        </w:types>
        <w:behaviors>
          <w:behavior w:val="content"/>
        </w:behaviors>
        <w:guid w:val="{B8A020C3-F889-405C-9447-96B01B8342A3}"/>
      </w:docPartPr>
      <w:docPartBody>
        <w:p w:rsidR="00C5153F" w:rsidRDefault="00000000">
          <w:pPr>
            <w:pStyle w:val="4495D0BFA02A4EA08E33E57FA9F91361"/>
          </w:pPr>
          <w:r w:rsidRPr="004F0F35">
            <w:rPr>
              <w:rStyle w:val="PlaceholderText"/>
            </w:rPr>
            <w:t>[Title]</w:t>
          </w:r>
        </w:p>
      </w:docPartBody>
    </w:docPart>
    <w:docPart>
      <w:docPartPr>
        <w:name w:val="FC9F50455A7A4734981648BA68856AB4"/>
        <w:category>
          <w:name w:val="General"/>
          <w:gallery w:val="placeholder"/>
        </w:category>
        <w:types>
          <w:type w:val="bbPlcHdr"/>
        </w:types>
        <w:behaviors>
          <w:behavior w:val="content"/>
        </w:behaviors>
        <w:guid w:val="{B3CE0FC5-7A5F-4CE5-8367-E0BDB2CB5890}"/>
      </w:docPartPr>
      <w:docPartBody>
        <w:p w:rsidR="00C5153F" w:rsidRDefault="00000000">
          <w:pPr>
            <w:pStyle w:val="FC9F50455A7A4734981648BA68856AB4"/>
          </w:pPr>
          <w:r w:rsidRPr="000A7C6C">
            <w:rPr>
              <w:rStyle w:val="PlaceholderText"/>
            </w:rPr>
            <w:t>[Company]</w:t>
          </w:r>
        </w:p>
      </w:docPartBody>
    </w:docPart>
    <w:docPart>
      <w:docPartPr>
        <w:name w:val="DA40C92B226347309D44CAA6839610F0"/>
        <w:category>
          <w:name w:val="General"/>
          <w:gallery w:val="placeholder"/>
        </w:category>
        <w:types>
          <w:type w:val="bbPlcHdr"/>
        </w:types>
        <w:behaviors>
          <w:behavior w:val="content"/>
        </w:behaviors>
        <w:guid w:val="{C9D8D6D9-7EBD-4B0C-B496-819EAF9EFBD2}"/>
      </w:docPartPr>
      <w:docPartBody>
        <w:p w:rsidR="00C5153F" w:rsidRDefault="00000000">
          <w:pPr>
            <w:pStyle w:val="DA40C92B226347309D44CAA6839610F0"/>
          </w:pPr>
          <w:r w:rsidRPr="000A7C6C">
            <w:rPr>
              <w:rStyle w:val="PlaceholderText"/>
            </w:rPr>
            <w:t>[Category]</w:t>
          </w:r>
        </w:p>
      </w:docPartBody>
    </w:docPart>
    <w:docPart>
      <w:docPartPr>
        <w:name w:val="713D1970E4E640F1B8A772F3A6D87D06"/>
        <w:category>
          <w:name w:val="General"/>
          <w:gallery w:val="placeholder"/>
        </w:category>
        <w:types>
          <w:type w:val="bbPlcHdr"/>
        </w:types>
        <w:behaviors>
          <w:behavior w:val="content"/>
        </w:behaviors>
        <w:guid w:val="{0BF05C02-193D-48BB-BA05-E31CD3A9FAA2}"/>
      </w:docPartPr>
      <w:docPartBody>
        <w:p w:rsidR="00C5153F" w:rsidRDefault="00000000">
          <w:pPr>
            <w:pStyle w:val="713D1970E4E640F1B8A772F3A6D87D06"/>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1089CC7F45A14A50A23BF6E93389DE6A"/>
        <w:category>
          <w:name w:val="General"/>
          <w:gallery w:val="placeholder"/>
        </w:category>
        <w:types>
          <w:type w:val="bbPlcHdr"/>
        </w:types>
        <w:behaviors>
          <w:behavior w:val="content"/>
        </w:behaviors>
        <w:guid w:val="{7EC02E80-69BA-40CC-83F0-0A3B61C94C2B}"/>
      </w:docPartPr>
      <w:docPartBody>
        <w:p w:rsidR="00C5153F" w:rsidRDefault="00000000">
          <w:pPr>
            <w:pStyle w:val="1089CC7F45A14A50A23BF6E93389DE6A"/>
          </w:pPr>
          <w:r>
            <w:t xml:space="preserve">Our ref: </w:t>
          </w:r>
        </w:p>
      </w:docPartBody>
    </w:docPart>
    <w:docPart>
      <w:docPartPr>
        <w:name w:val="BA38FD0FAC3C4F098083EAB5D0C94AF8"/>
        <w:category>
          <w:name w:val="General"/>
          <w:gallery w:val="placeholder"/>
        </w:category>
        <w:types>
          <w:type w:val="bbPlcHdr"/>
        </w:types>
        <w:behaviors>
          <w:behavior w:val="content"/>
        </w:behaviors>
        <w:guid w:val="{110FF8A3-896B-43BA-A388-CE700F03C5AE}"/>
      </w:docPartPr>
      <w:docPartBody>
        <w:p w:rsidR="00C5153F" w:rsidRDefault="00000000">
          <w:pPr>
            <w:pStyle w:val="BA38FD0FAC3C4F098083EAB5D0C94AF8"/>
          </w:pPr>
          <w:r w:rsidRPr="00BC5EE2">
            <w:rPr>
              <w:rStyle w:val="PlaceholderText"/>
            </w:rPr>
            <w:t>Click here to enter text.</w:t>
          </w:r>
        </w:p>
      </w:docPartBody>
    </w:docPart>
    <w:docPart>
      <w:docPartPr>
        <w:name w:val="71B99A29409B467F9C229DD61EF52C65"/>
        <w:category>
          <w:name w:val="General"/>
          <w:gallery w:val="placeholder"/>
        </w:category>
        <w:types>
          <w:type w:val="bbPlcHdr"/>
        </w:types>
        <w:behaviors>
          <w:behavior w:val="content"/>
        </w:behaviors>
        <w:guid w:val="{FA8B84BA-2F02-4881-BD99-6952E174275B}"/>
      </w:docPartPr>
      <w:docPartBody>
        <w:p w:rsidR="00C5153F" w:rsidRDefault="00000000">
          <w:pPr>
            <w:pStyle w:val="71B99A29409B467F9C229DD61EF52C65"/>
          </w:pPr>
          <w:r>
            <w:t xml:space="preserve">Client ref: </w:t>
          </w:r>
        </w:p>
      </w:docPartBody>
    </w:docPart>
    <w:docPart>
      <w:docPartPr>
        <w:name w:val="D27957D59A324D8389C5F2BC7D91A676"/>
        <w:category>
          <w:name w:val="General"/>
          <w:gallery w:val="placeholder"/>
        </w:category>
        <w:types>
          <w:type w:val="bbPlcHdr"/>
        </w:types>
        <w:behaviors>
          <w:behavior w:val="content"/>
        </w:behaviors>
        <w:guid w:val="{265CDCDC-A0D9-4B3E-916F-88DD4FA7C5D0}"/>
      </w:docPartPr>
      <w:docPartBody>
        <w:p w:rsidR="00C5153F" w:rsidRDefault="00000000">
          <w:pPr>
            <w:pStyle w:val="D27957D59A324D8389C5F2BC7D91A676"/>
          </w:pPr>
          <w:r w:rsidRPr="00BC5EE2">
            <w:rPr>
              <w:rStyle w:val="PlaceholderText"/>
            </w:rPr>
            <w:t>Click here to enter text.</w:t>
          </w:r>
        </w:p>
      </w:docPartBody>
    </w:docPart>
    <w:docPart>
      <w:docPartPr>
        <w:name w:val="69B2138248534368A154E03F5A2EE408"/>
        <w:category>
          <w:name w:val="General"/>
          <w:gallery w:val="placeholder"/>
        </w:category>
        <w:types>
          <w:type w:val="bbPlcHdr"/>
        </w:types>
        <w:behaviors>
          <w:behavior w:val="content"/>
        </w:behaviors>
        <w:guid w:val="{54A95EC4-FC81-49AA-AD8C-3A81B97C1D06}"/>
      </w:docPartPr>
      <w:docPartBody>
        <w:p w:rsidR="00C5153F" w:rsidRDefault="00000000">
          <w:pPr>
            <w:pStyle w:val="69B2138248534368A154E03F5A2EE408"/>
          </w:pPr>
          <w:r>
            <w:t>Office address</w:t>
          </w:r>
        </w:p>
      </w:docPartBody>
    </w:docPart>
    <w:docPart>
      <w:docPartPr>
        <w:name w:val="ADDBB8F4A09745EDAEA2835E272379D3"/>
        <w:category>
          <w:name w:val="General"/>
          <w:gallery w:val="placeholder"/>
        </w:category>
        <w:types>
          <w:type w:val="bbPlcHdr"/>
        </w:types>
        <w:behaviors>
          <w:behavior w:val="content"/>
        </w:behaviors>
        <w:guid w:val="{6D745B22-4AFA-441D-A5EB-723D502F410D}"/>
      </w:docPartPr>
      <w:docPartBody>
        <w:p w:rsidR="00C5153F" w:rsidRDefault="00000000">
          <w:pPr>
            <w:pStyle w:val="ADDBB8F4A09745EDAEA2835E272379D3"/>
          </w:pPr>
          <w:r w:rsidRPr="00FD0A1C">
            <w:rPr>
              <w:rStyle w:val="PlaceholderText"/>
              <w:sz w:val="18"/>
              <w:szCs w:val="18"/>
            </w:rPr>
            <w:t>[Company]</w:t>
          </w:r>
        </w:p>
      </w:docPartBody>
    </w:docPart>
    <w:docPart>
      <w:docPartPr>
        <w:name w:val="FB9A769BAE9F41E2957CB70AB24342D9"/>
        <w:category>
          <w:name w:val="General"/>
          <w:gallery w:val="placeholder"/>
        </w:category>
        <w:types>
          <w:type w:val="bbPlcHdr"/>
        </w:types>
        <w:behaviors>
          <w:behavior w:val="content"/>
        </w:behaviors>
        <w:guid w:val="{8A41A49A-A77B-4A1C-92C1-7F03F2FA6049}"/>
      </w:docPartPr>
      <w:docPartBody>
        <w:p w:rsidR="00C5153F" w:rsidRDefault="00000000">
          <w:pPr>
            <w:pStyle w:val="FB9A769BAE9F41E2957CB70AB24342D9"/>
          </w:pPr>
          <w:r w:rsidRPr="00FD0A1C">
            <w:rPr>
              <w:rStyle w:val="PlaceholderText"/>
              <w:sz w:val="18"/>
              <w:szCs w:val="18"/>
            </w:rPr>
            <w:t>[Company Address]</w:t>
          </w:r>
        </w:p>
      </w:docPartBody>
    </w:docPart>
    <w:docPart>
      <w:docPartPr>
        <w:name w:val="B231787618DC4B7790D0D1FADBB1554A"/>
        <w:category>
          <w:name w:val="General"/>
          <w:gallery w:val="placeholder"/>
        </w:category>
        <w:types>
          <w:type w:val="bbPlcHdr"/>
        </w:types>
        <w:behaviors>
          <w:behavior w:val="content"/>
        </w:behaviors>
        <w:guid w:val="{842757EE-BB0D-403A-B62A-5D079CB7FFFA}"/>
      </w:docPartPr>
      <w:docPartBody>
        <w:p w:rsidR="00C5153F" w:rsidRDefault="00000000">
          <w:pPr>
            <w:pStyle w:val="B231787618DC4B7790D0D1FADBB1554A"/>
          </w:pPr>
          <w:r>
            <w:t>Office telephone</w:t>
          </w:r>
        </w:p>
      </w:docPartBody>
    </w:docPart>
    <w:docPart>
      <w:docPartPr>
        <w:name w:val="26BBAB93F8F441A48BC13F5F5B663223"/>
        <w:category>
          <w:name w:val="General"/>
          <w:gallery w:val="placeholder"/>
        </w:category>
        <w:types>
          <w:type w:val="bbPlcHdr"/>
        </w:types>
        <w:behaviors>
          <w:behavior w:val="content"/>
        </w:behaviors>
        <w:guid w:val="{D2D6A290-5066-4DE2-B1E6-4E939E62A291}"/>
      </w:docPartPr>
      <w:docPartBody>
        <w:p w:rsidR="00C5153F" w:rsidRDefault="00000000">
          <w:pPr>
            <w:pStyle w:val="26BBAB93F8F441A48BC13F5F5B663223"/>
          </w:pPr>
          <w:r w:rsidRPr="007A5919">
            <w:rPr>
              <w:rStyle w:val="PlaceholderText"/>
            </w:rPr>
            <w:t>Click here to enter text.</w:t>
          </w:r>
        </w:p>
      </w:docPartBody>
    </w:docPart>
    <w:docPart>
      <w:docPartPr>
        <w:name w:val="3E84D12AB09F4E529FF8306A8C51236E"/>
        <w:category>
          <w:name w:val="General"/>
          <w:gallery w:val="placeholder"/>
        </w:category>
        <w:types>
          <w:type w:val="bbPlcHdr"/>
        </w:types>
        <w:behaviors>
          <w:behavior w:val="content"/>
        </w:behaviors>
        <w:guid w:val="{E0A87ED9-BDFE-4BFE-A8AD-F2DBBBC402E8}"/>
      </w:docPartPr>
      <w:docPartBody>
        <w:p w:rsidR="00C5153F" w:rsidRDefault="00000000" w:rsidP="00654AF4">
          <w:pPr>
            <w:pStyle w:val="3E84D12AB09F4E529FF8306A8C51236E"/>
          </w:pPr>
          <w:r w:rsidRPr="008A7140">
            <w:rPr>
              <w:rStyle w:val="PlaceholderText"/>
            </w:rPr>
            <w:t>[Company]</w:t>
          </w:r>
        </w:p>
      </w:docPartBody>
    </w:docPart>
    <w:docPart>
      <w:docPartPr>
        <w:name w:val="4C58D41AFCFE4BB7B30FDD92CFEF2285"/>
        <w:category>
          <w:name w:val="General"/>
          <w:gallery w:val="placeholder"/>
        </w:category>
        <w:types>
          <w:type w:val="bbPlcHdr"/>
        </w:types>
        <w:behaviors>
          <w:behavior w:val="content"/>
        </w:behaviors>
        <w:guid w:val="{718C9888-2572-455E-A26B-9C7389FEAC9A}"/>
      </w:docPartPr>
      <w:docPartBody>
        <w:p w:rsidR="00C5153F" w:rsidRDefault="00000000" w:rsidP="00654AF4">
          <w:pPr>
            <w:pStyle w:val="4C58D41AFCFE4BB7B30FDD92CFEF2285"/>
          </w:pPr>
          <w:r>
            <w:t>Office address</w:t>
          </w:r>
        </w:p>
      </w:docPartBody>
    </w:docPart>
    <w:docPart>
      <w:docPartPr>
        <w:name w:val="4D78C3A04D14417CBD63D14F0DD36702"/>
        <w:category>
          <w:name w:val="General"/>
          <w:gallery w:val="placeholder"/>
        </w:category>
        <w:types>
          <w:type w:val="bbPlcHdr"/>
        </w:types>
        <w:behaviors>
          <w:behavior w:val="content"/>
        </w:behaviors>
        <w:guid w:val="{9BCA0245-99D4-4A84-A421-81B27735879A}"/>
      </w:docPartPr>
      <w:docPartBody>
        <w:p w:rsidR="00C5153F" w:rsidRDefault="00000000" w:rsidP="00654AF4">
          <w:pPr>
            <w:pStyle w:val="4D78C3A04D14417CBD63D14F0DD36702"/>
          </w:pPr>
          <w:r>
            <w:t>Office telephone</w:t>
          </w:r>
        </w:p>
      </w:docPartBody>
    </w:docPart>
    <w:docPart>
      <w:docPartPr>
        <w:name w:val="075909A07C1741F1B97B725A437D5945"/>
        <w:category>
          <w:name w:val="General"/>
          <w:gallery w:val="placeholder"/>
        </w:category>
        <w:types>
          <w:type w:val="bbPlcHdr"/>
        </w:types>
        <w:behaviors>
          <w:behavior w:val="content"/>
        </w:behaviors>
        <w:guid w:val="{982F7075-C0FE-4F4B-83DA-F78317718DBE}"/>
      </w:docPartPr>
      <w:docPartBody>
        <w:p w:rsidR="00C5153F" w:rsidRDefault="00000000" w:rsidP="00654AF4">
          <w:pPr>
            <w:pStyle w:val="075909A07C1741F1B97B725A437D5945"/>
          </w:pPr>
          <w:r w:rsidRPr="007A5919">
            <w:rPr>
              <w:rStyle w:val="PlaceholderText"/>
            </w:rPr>
            <w:t>Click here to enter text.</w:t>
          </w:r>
        </w:p>
      </w:docPartBody>
    </w:docPart>
    <w:docPart>
      <w:docPartPr>
        <w:name w:val="86B6B605776F437FA948DC75148A3BBC"/>
        <w:category>
          <w:name w:val="General"/>
          <w:gallery w:val="placeholder"/>
        </w:category>
        <w:types>
          <w:type w:val="bbPlcHdr"/>
        </w:types>
        <w:behaviors>
          <w:behavior w:val="content"/>
        </w:behaviors>
        <w:guid w:val="{977B32C8-E263-486E-939C-7DD84F5791E2}"/>
      </w:docPartPr>
      <w:docPartBody>
        <w:p w:rsidR="00C5153F" w:rsidRDefault="00000000" w:rsidP="00654AF4">
          <w:pPr>
            <w:pStyle w:val="86B6B605776F437FA948DC75148A3BBC"/>
          </w:pPr>
          <w:r w:rsidRPr="00FD0A1C">
            <w:rPr>
              <w:rStyle w:val="PlaceholderText"/>
              <w:sz w:val="18"/>
              <w:szCs w:val="18"/>
            </w:rPr>
            <w:t>[Company]</w:t>
          </w:r>
        </w:p>
      </w:docPartBody>
    </w:docPart>
    <w:docPart>
      <w:docPartPr>
        <w:name w:val="FC6B7595F1BC4CDEAB128237BEAF23F9"/>
        <w:category>
          <w:name w:val="General"/>
          <w:gallery w:val="placeholder"/>
        </w:category>
        <w:types>
          <w:type w:val="bbPlcHdr"/>
        </w:types>
        <w:behaviors>
          <w:behavior w:val="content"/>
        </w:behaviors>
        <w:guid w:val="{3AFF74B1-1B65-4A5A-966D-B528FCF7ADEB}"/>
      </w:docPartPr>
      <w:docPartBody>
        <w:p w:rsidR="00C5153F" w:rsidRDefault="00000000" w:rsidP="00654AF4">
          <w:pPr>
            <w:pStyle w:val="FC6B7595F1BC4CDEAB128237BEAF23F9"/>
          </w:pPr>
          <w:r w:rsidRPr="00FD0A1C">
            <w:rPr>
              <w:rStyle w:val="PlaceholderText"/>
              <w:sz w:val="18"/>
              <w:szCs w:val="18"/>
            </w:rPr>
            <w:t>[Company Address]</w:t>
          </w:r>
        </w:p>
      </w:docPartBody>
    </w:docPart>
    <w:docPart>
      <w:docPartPr>
        <w:name w:val="CBC6FE02E1844706A5F619CD9E847643"/>
        <w:category>
          <w:name w:val="General"/>
          <w:gallery w:val="placeholder"/>
        </w:category>
        <w:types>
          <w:type w:val="bbPlcHdr"/>
        </w:types>
        <w:behaviors>
          <w:behavior w:val="content"/>
        </w:behaviors>
        <w:guid w:val="{12B4D1FA-6058-4105-808E-BCC2FB0FEE0C}"/>
      </w:docPartPr>
      <w:docPartBody>
        <w:p w:rsidR="00C5153F" w:rsidRDefault="00000000" w:rsidP="00654AF4">
          <w:pPr>
            <w:pStyle w:val="CBC6FE02E1844706A5F619CD9E847643"/>
          </w:pPr>
          <w:r w:rsidRPr="00BC5EE2">
            <w:rPr>
              <w:rStyle w:val="PlaceholderText"/>
            </w:rPr>
            <w:t>Click here to enter text.</w:t>
          </w:r>
        </w:p>
      </w:docPartBody>
    </w:docPart>
    <w:docPart>
      <w:docPartPr>
        <w:name w:val="E59DD076DE15449091E978D08092B197"/>
        <w:category>
          <w:name w:val="General"/>
          <w:gallery w:val="placeholder"/>
        </w:category>
        <w:types>
          <w:type w:val="bbPlcHdr"/>
        </w:types>
        <w:behaviors>
          <w:behavior w:val="content"/>
        </w:behaviors>
        <w:guid w:val="{403336B7-2E60-4CAD-B05D-336A3049CEDE}"/>
      </w:docPartPr>
      <w:docPartBody>
        <w:p w:rsidR="00C5153F" w:rsidRDefault="00000000" w:rsidP="00654AF4">
          <w:pPr>
            <w:pStyle w:val="E59DD076DE15449091E978D08092B197"/>
          </w:pPr>
          <w:r w:rsidRPr="00BC5EE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4AF4"/>
    <w:rPr>
      <w:color w:val="808080"/>
      <w:lang w:val="es-ES"/>
    </w:rPr>
  </w:style>
  <w:style w:type="paragraph" w:customStyle="1" w:styleId="7ECC366E89FD43198323215510B41C93">
    <w:name w:val="7ECC366E89FD43198323215510B41C93"/>
  </w:style>
  <w:style w:type="paragraph" w:customStyle="1" w:styleId="28D9EE1FEC0142579E6CDCDD656B3F6D">
    <w:name w:val="28D9EE1FEC0142579E6CDCDD656B3F6D"/>
  </w:style>
  <w:style w:type="paragraph" w:customStyle="1" w:styleId="704514A7FAE6402CA9A95E7CE3BFA790">
    <w:name w:val="704514A7FAE6402CA9A95E7CE3BFA790"/>
  </w:style>
  <w:style w:type="paragraph" w:customStyle="1" w:styleId="4425797EC2C9449FB144A017C89750FC">
    <w:name w:val="4425797EC2C9449FB144A017C89750FC"/>
  </w:style>
  <w:style w:type="paragraph" w:customStyle="1" w:styleId="E470D076D5274252AF9279DEA7DD049B">
    <w:name w:val="E470D076D5274252AF9279DEA7DD049B"/>
  </w:style>
  <w:style w:type="paragraph" w:customStyle="1" w:styleId="7DCC3749595E49A8BC773D85C96E69A7">
    <w:name w:val="7DCC3749595E49A8BC773D85C96E69A7"/>
  </w:style>
  <w:style w:type="paragraph" w:customStyle="1" w:styleId="24D1114C4DE74ADB890D0C2AA7F21CE7">
    <w:name w:val="24D1114C4DE74ADB890D0C2AA7F21CE7"/>
  </w:style>
  <w:style w:type="paragraph" w:customStyle="1" w:styleId="4495D0BFA02A4EA08E33E57FA9F91361">
    <w:name w:val="4495D0BFA02A4EA08E33E57FA9F91361"/>
  </w:style>
  <w:style w:type="paragraph" w:customStyle="1" w:styleId="FC9F50455A7A4734981648BA68856AB4">
    <w:name w:val="FC9F50455A7A4734981648BA68856AB4"/>
  </w:style>
  <w:style w:type="paragraph" w:customStyle="1" w:styleId="DA40C92B226347309D44CAA6839610F0">
    <w:name w:val="DA40C92B226347309D44CAA6839610F0"/>
  </w:style>
  <w:style w:type="paragraph" w:customStyle="1" w:styleId="713D1970E4E640F1B8A772F3A6D87D06">
    <w:name w:val="713D1970E4E640F1B8A772F3A6D87D06"/>
  </w:style>
  <w:style w:type="paragraph" w:customStyle="1" w:styleId="1089CC7F45A14A50A23BF6E93389DE6A">
    <w:name w:val="1089CC7F45A14A50A23BF6E93389DE6A"/>
  </w:style>
  <w:style w:type="paragraph" w:customStyle="1" w:styleId="BA38FD0FAC3C4F098083EAB5D0C94AF8">
    <w:name w:val="BA38FD0FAC3C4F098083EAB5D0C94AF8"/>
  </w:style>
  <w:style w:type="paragraph" w:customStyle="1" w:styleId="71B99A29409B467F9C229DD61EF52C65">
    <w:name w:val="71B99A29409B467F9C229DD61EF52C65"/>
  </w:style>
  <w:style w:type="paragraph" w:customStyle="1" w:styleId="D27957D59A324D8389C5F2BC7D91A676">
    <w:name w:val="D27957D59A324D8389C5F2BC7D91A676"/>
  </w:style>
  <w:style w:type="paragraph" w:customStyle="1" w:styleId="69B2138248534368A154E03F5A2EE408">
    <w:name w:val="69B2138248534368A154E03F5A2EE408"/>
  </w:style>
  <w:style w:type="paragraph" w:customStyle="1" w:styleId="ADDBB8F4A09745EDAEA2835E272379D3">
    <w:name w:val="ADDBB8F4A09745EDAEA2835E272379D3"/>
  </w:style>
  <w:style w:type="paragraph" w:customStyle="1" w:styleId="FB9A769BAE9F41E2957CB70AB24342D9">
    <w:name w:val="FB9A769BAE9F41E2957CB70AB24342D9"/>
  </w:style>
  <w:style w:type="paragraph" w:customStyle="1" w:styleId="B231787618DC4B7790D0D1FADBB1554A">
    <w:name w:val="B231787618DC4B7790D0D1FADBB1554A"/>
  </w:style>
  <w:style w:type="paragraph" w:customStyle="1" w:styleId="26BBAB93F8F441A48BC13F5F5B663223">
    <w:name w:val="26BBAB93F8F441A48BC13F5F5B663223"/>
  </w:style>
  <w:style w:type="paragraph" w:customStyle="1" w:styleId="3E84D12AB09F4E529FF8306A8C51236E">
    <w:name w:val="3E84D12AB09F4E529FF8306A8C51236E"/>
    <w:rsid w:val="00654AF4"/>
  </w:style>
  <w:style w:type="paragraph" w:customStyle="1" w:styleId="4C58D41AFCFE4BB7B30FDD92CFEF2285">
    <w:name w:val="4C58D41AFCFE4BB7B30FDD92CFEF2285"/>
    <w:rsid w:val="00654AF4"/>
  </w:style>
  <w:style w:type="paragraph" w:customStyle="1" w:styleId="4D78C3A04D14417CBD63D14F0DD36702">
    <w:name w:val="4D78C3A04D14417CBD63D14F0DD36702"/>
    <w:rsid w:val="00654AF4"/>
  </w:style>
  <w:style w:type="paragraph" w:customStyle="1" w:styleId="075909A07C1741F1B97B725A437D5945">
    <w:name w:val="075909A07C1741F1B97B725A437D5945"/>
    <w:rsid w:val="00654AF4"/>
  </w:style>
  <w:style w:type="paragraph" w:customStyle="1" w:styleId="86B6B605776F437FA948DC75148A3BBC">
    <w:name w:val="86B6B605776F437FA948DC75148A3BBC"/>
    <w:rsid w:val="00654AF4"/>
  </w:style>
  <w:style w:type="paragraph" w:customStyle="1" w:styleId="FC6B7595F1BC4CDEAB128237BEAF23F9">
    <w:name w:val="FC6B7595F1BC4CDEAB128237BEAF23F9"/>
    <w:rsid w:val="00654AF4"/>
  </w:style>
  <w:style w:type="paragraph" w:customStyle="1" w:styleId="CBC6FE02E1844706A5F619CD9E847643">
    <w:name w:val="CBC6FE02E1844706A5F619CD9E847643"/>
    <w:rsid w:val="00654AF4"/>
  </w:style>
  <w:style w:type="paragraph" w:customStyle="1" w:styleId="E59DD076DE15449091E978D08092B197">
    <w:name w:val="E59DD076DE15449091E978D08092B197"/>
    <w:rsid w:val="00654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DG Base">
  <a:themeElements>
    <a:clrScheme name="SDG_ED">
      <a:dk1>
        <a:sysClr val="windowText" lastClr="000000"/>
      </a:dk1>
      <a:lt1>
        <a:sysClr val="window" lastClr="FFFFFF"/>
      </a:lt1>
      <a:dk2>
        <a:srgbClr val="009483"/>
      </a:dk2>
      <a:lt2>
        <a:srgbClr val="57626E"/>
      </a:lt2>
      <a:accent1>
        <a:srgbClr val="D8D8D8"/>
      </a:accent1>
      <a:accent2>
        <a:srgbClr val="A2A5AD"/>
      </a:accent2>
      <a:accent3>
        <a:srgbClr val="D6E7F2"/>
      </a:accent3>
      <a:accent4>
        <a:srgbClr val="EFF6FA"/>
      </a:accent4>
      <a:accent5>
        <a:srgbClr val="CCEAE6"/>
      </a:accent5>
      <a:accent6>
        <a:srgbClr val="57626E"/>
      </a:accent6>
      <a:hlink>
        <a:srgbClr val="0000FF"/>
      </a:hlink>
      <a:folHlink>
        <a:srgbClr val="800080"/>
      </a:folHlink>
    </a:clrScheme>
    <a:fontScheme name="SDG_ED">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SDG Red">
      <a:srgbClr val="AE1031"/>
    </a:custClr>
    <a:custClr name="SDG Grey">
      <a:srgbClr val="57626E"/>
    </a:custClr>
    <a:custClr name="SDG Light Blue">
      <a:srgbClr val="86B3CB"/>
    </a:custClr>
    <a:custClr name="SDG Purple">
      <a:srgbClr val="926899"/>
    </a:custClr>
    <a:custClr name="SDG Green">
      <a:srgbClr val="7DC574"/>
    </a:custClr>
    <a:custClr name="SDG Orange">
      <a:srgbClr val="F8982D"/>
    </a:custClr>
    <a:custClr name="SDG Teal">
      <a:srgbClr val="369A98"/>
    </a:custClr>
    <a:custClr name="SDG Light Blue 20%">
      <a:srgbClr val="EFF6FA"/>
    </a:custClr>
    <a:custClr name="SGD Light Blue 50%">
      <a:srgbClr val="D6E7F2"/>
    </a:custClr>
    <a:custClr name="SDG Grey 50%">
      <a:srgbClr val="98A5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c/o 15 Cross Street
Preston PR1 3LT</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ABB038482BA546B690D044BDA64817" ma:contentTypeVersion="8" ma:contentTypeDescription="Create a new document." ma:contentTypeScope="" ma:versionID="66b7cf50a4b1f5d10ae15553c6e546c2">
  <xsd:schema xmlns:xsd="http://www.w3.org/2001/XMLSchema" xmlns:xs="http://www.w3.org/2001/XMLSchema" xmlns:p="http://schemas.microsoft.com/office/2006/metadata/properties" xmlns:ns2="c152e34e-2897-4fd8-8428-aa19993caf54" xmlns:ns3="fa1ab51f-8953-491c-a792-48262e908016" targetNamespace="http://schemas.microsoft.com/office/2006/metadata/properties" ma:root="true" ma:fieldsID="33b55859cd88011ef10650db94283937" ns2:_="" ns3:_="">
    <xsd:import namespace="c152e34e-2897-4fd8-8428-aa19993caf54"/>
    <xsd:import namespace="fa1ab51f-8953-491c-a792-48262e9080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2e34e-2897-4fd8-8428-aa19993ca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1ab51f-8953-491c-a792-48262e90801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Publication>14 March 2018</Publication>
  <Project_number>231-495-01</Project_number>
  <Project_number_label/>
  <Client>
    <Name>Client name</Name>
    <Address>Client address</Address>
    <Ref/>
    <Ref_label/>
  </Client>
  <Office>
    <Address>61 Mosley Street
Manchester M2 3HZ</Address>
    <Telephone>+44 161 261 9141</Telephone>
    <URL>www.sdgED.com</URL>
  </Office>
</root>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F07729-9140-47A4-A72B-F96D0767677F}">
  <ds:schemaRefs>
    <ds:schemaRef ds:uri="http://schemas.microsoft.com/sharepoint/v3/contenttype/forms"/>
  </ds:schemaRefs>
</ds:datastoreItem>
</file>

<file path=customXml/itemProps3.xml><?xml version="1.0" encoding="utf-8"?>
<ds:datastoreItem xmlns:ds="http://schemas.openxmlformats.org/officeDocument/2006/customXml" ds:itemID="{41AF6312-3EA1-42AD-BA19-4ECEF5D09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2e34e-2897-4fd8-8428-aa19993caf54"/>
    <ds:schemaRef ds:uri="fa1ab51f-8953-491c-a792-48262e908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E2CD3-62F3-4FBE-BE43-75DDB2D9F79B}">
  <ds:schemaRefs/>
</ds:datastoreItem>
</file>

<file path=customXml/itemProps5.xml><?xml version="1.0" encoding="utf-8"?>
<ds:datastoreItem xmlns:ds="http://schemas.openxmlformats.org/officeDocument/2006/customXml" ds:itemID="{5526B710-ED36-42AD-81A6-B4481FB4D1A7}">
  <ds:schemaRef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fa1ab51f-8953-491c-a792-48262e908016"/>
    <ds:schemaRef ds:uri="c152e34e-2897-4fd8-8428-aa19993caf54"/>
  </ds:schemaRefs>
</ds:datastoreItem>
</file>

<file path=customXml/itemProps6.xml><?xml version="1.0" encoding="utf-8"?>
<ds:datastoreItem xmlns:ds="http://schemas.openxmlformats.org/officeDocument/2006/customXml" ds:itemID="{4ACFA586-EF91-4978-9BAE-F7EDD33D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SDG_ED Report A4 Portrait.dotm</Template>
  <TotalTime>1</TotalTime>
  <Pages>67</Pages>
  <Words>17891</Words>
  <Characters>101981</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The Lancashire Innovation Plan</vt:lpstr>
    </vt:vector>
  </TitlesOfParts>
  <Company>Lancashire Enterprise Partnership</Company>
  <LinksUpToDate>false</LinksUpToDate>
  <CharactersWithSpaces>119633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Lancashire Innovation Plan</dc:title>
  <dc:creator>Walker, Andy (OCE)</dc:creator>
  <cp:lastModifiedBy>Gittins, Heather</cp:lastModifiedBy>
  <cp:revision>3</cp:revision>
  <cp:lastPrinted>2018-03-21T11:11:00Z</cp:lastPrinted>
  <dcterms:created xsi:type="dcterms:W3CDTF">2018-03-22T14:31:00Z</dcterms:created>
  <dcterms:modified xsi:type="dcterms:W3CDTF">2020-07-17T10:38:00Z</dcterms:modified>
  <cp:category>A Final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 cover">
    <vt:lpwstr>Plain</vt:lpwstr>
  </property>
  <property fmtid="{D5CDD505-2E9C-101B-9397-08002B2CF9AE}" pid="3" name="Client ref label">
    <vt:lpwstr>Client ref: </vt:lpwstr>
  </property>
  <property fmtid="{D5CDD505-2E9C-101B-9397-08002B2CF9AE}" pid="4" name="ContentTypeId">
    <vt:lpwstr>0x010100DEABB038482BA546B690D044BDA64817</vt:lpwstr>
  </property>
  <property fmtid="{D5CDD505-2E9C-101B-9397-08002B2CF9AE}" pid="5" name="Control sheet">
    <vt:bool>true</vt:bool>
  </property>
  <property fmtid="{D5CDD505-2E9C-101B-9397-08002B2CF9AE}" pid="6" name="Doc Language">
    <vt:i4>0</vt:i4>
  </property>
  <property fmtid="{D5CDD505-2E9C-101B-9397-08002B2CF9AE}" pid="7" name="Doc Spelling">
    <vt:i4>0</vt:i4>
  </property>
  <property fmtid="{D5CDD505-2E9C-101B-9397-08002B2CF9AE}" pid="8" name="Foreword">
    <vt:bool>true</vt:bool>
  </property>
  <property fmtid="{D5CDD505-2E9C-101B-9397-08002B2CF9AE}" pid="9" name="ForewordToC">
    <vt:bool>true</vt:bool>
  </property>
  <property fmtid="{D5CDD505-2E9C-101B-9397-08002B2CF9AE}" pid="10" name="Front cover">
    <vt:bool>true</vt:bool>
  </property>
  <property fmtid="{D5CDD505-2E9C-101B-9397-08002B2CF9AE}" pid="11" name="Numbering">
    <vt:lpwstr>A</vt:lpwstr>
  </property>
  <property fmtid="{D5CDD505-2E9C-101B-9397-08002B2CF9AE}" pid="12" name="Our ref label">
    <vt:lpwstr>Our ref: </vt:lpwstr>
  </property>
  <property fmtid="{D5CDD505-2E9C-101B-9397-08002B2CF9AE}" pid="13" name="Template date">
    <vt:filetime>2017-02-27T00:00:00Z</vt:filetime>
  </property>
  <property fmtid="{D5CDD505-2E9C-101B-9397-08002B2CF9AE}" pid="14" name="Template version">
    <vt:lpwstr>1.16</vt:lpwstr>
  </property>
</Properties>
</file>